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5C0" w:rsidRDefault="00A415C0" w:rsidP="00A415C0">
      <w:pPr>
        <w:numPr>
          <w:ilvl w:val="0"/>
          <w:numId w:val="2"/>
        </w:numPr>
        <w:rPr>
          <w:b/>
        </w:rPr>
      </w:pPr>
      <w:r w:rsidRPr="00EB0B2F">
        <w:rPr>
          <w:b/>
        </w:rPr>
        <w:t>Câu hỏi chương tài chính công:</w:t>
      </w:r>
    </w:p>
    <w:p w:rsidR="00A415C0" w:rsidRDefault="00A415C0" w:rsidP="00A415C0">
      <w:pPr>
        <w:numPr>
          <w:ilvl w:val="0"/>
          <w:numId w:val="1"/>
        </w:numPr>
      </w:pPr>
      <w:r w:rsidRPr="00005BF6">
        <w:rPr>
          <w:rFonts w:eastAsia="Times New Roman"/>
          <w:szCs w:val="26"/>
        </w:rPr>
        <w:t xml:space="preserve">Nếu các thị trường và </w:t>
      </w:r>
      <w:r>
        <w:rPr>
          <w:rFonts w:eastAsia="Times New Roman"/>
          <w:szCs w:val="26"/>
        </w:rPr>
        <w:t>hệ thống thị trường là hiệu quả thì tại sao</w:t>
      </w:r>
      <w:r w:rsidRPr="00005BF6">
        <w:rPr>
          <w:rFonts w:eastAsia="Times New Roman"/>
          <w:szCs w:val="26"/>
        </w:rPr>
        <w:t xml:space="preserve"> chính ph</w:t>
      </w:r>
      <w:r>
        <w:rPr>
          <w:rFonts w:eastAsia="Times New Roman"/>
          <w:szCs w:val="26"/>
        </w:rPr>
        <w:t>ủ phải can thiệp vào thị trường?</w:t>
      </w:r>
    </w:p>
    <w:p w:rsidR="00A415C0" w:rsidRPr="00B82837" w:rsidRDefault="00A415C0" w:rsidP="00A415C0">
      <w:pPr>
        <w:pStyle w:val="Default"/>
        <w:numPr>
          <w:ilvl w:val="0"/>
          <w:numId w:val="1"/>
        </w:numPr>
        <w:jc w:val="both"/>
        <w:rPr>
          <w:sz w:val="26"/>
          <w:szCs w:val="26"/>
        </w:rPr>
      </w:pPr>
      <w:r w:rsidRPr="00960071">
        <w:rPr>
          <w:bCs/>
          <w:sz w:val="26"/>
          <w:szCs w:val="26"/>
        </w:rPr>
        <w:t xml:space="preserve">Chính sách “vẹn cả đôi đường” </w:t>
      </w:r>
    </w:p>
    <w:p w:rsidR="00A415C0" w:rsidRPr="00B82837" w:rsidRDefault="00A415C0" w:rsidP="00A415C0">
      <w:pPr>
        <w:pStyle w:val="Default"/>
        <w:ind w:firstLine="360"/>
        <w:jc w:val="both"/>
        <w:rPr>
          <w:sz w:val="26"/>
          <w:szCs w:val="26"/>
        </w:rPr>
      </w:pPr>
      <w:r w:rsidRPr="00B82837">
        <w:rPr>
          <w:sz w:val="26"/>
          <w:szCs w:val="26"/>
        </w:rPr>
        <w:t xml:space="preserve">Chuyện kể rằng, nhà nước Văn Lang liên tục bị thâm hụt ngân khố triền miên trong nhiều năm trong khi nhà vua lại đang cần một khoản tiền để chuẩn bị làm đám cưới cho công chúa. Đứng trước tình thế khó khăn này, nhà vua bèn nghĩ ra một kế “vẹn cả đôi đường,” tức là sẽ mời người tài giỏi hiến kế mà nếu ai hiến kế hay nhà vua sẽ gả công chúa cho người đó. </w:t>
      </w:r>
    </w:p>
    <w:p w:rsidR="00A415C0" w:rsidRDefault="00A415C0" w:rsidP="00A415C0">
      <w:pPr>
        <w:ind w:firstLine="360"/>
        <w:jc w:val="both"/>
        <w:rPr>
          <w:sz w:val="23"/>
          <w:szCs w:val="23"/>
        </w:rPr>
      </w:pPr>
      <w:r w:rsidRPr="00B82837">
        <w:rPr>
          <w:szCs w:val="26"/>
        </w:rPr>
        <w:t>Sơn Tinh và Thủy Tinh sau khi nghe nhà vua yết thông báo bèn xin được hiến kế. Điều thú vị là Sơn Tinh và Thủy Tinh đều thể hiện sự bất đồng sâu sắc về quan điểm. Thủy Tinh cho rằng thâm hụt ngân khố cho thấy đất nước đang bị trì trệ và nhà vua nên tăng cường chi tiêu để vực dậy đất nước và tạo niềm phấn khích cho dân chúng tăng cho tiêu. Trong khi đó, Sơn Tinh lại lập luận rằng tình trạng hiện nay cho thấy nhà vua đang dùng tiền ngân khố quá mức nên biện pháp tốt nhất là nên cắt giảm nhu cầu chi tiêu của nhà vua đi vì có như vậy dân chúng mới yên tâm mà tăng chi tiêu nhiều hơn. Sau khi nghe xong lời khuyên, nhà vua càng quẩn trí hơn vì không biết ai đúng ai sai cả. Các bạn, trong vai trò là quân sư của nhà vua, xin hãy tư vấn xem ai đúng ai sai trong các tranh luận của Sơn Tinh và Thủy Tinh</w:t>
      </w:r>
      <w:r>
        <w:rPr>
          <w:sz w:val="23"/>
          <w:szCs w:val="23"/>
        </w:rPr>
        <w:t xml:space="preserve">, </w:t>
      </w:r>
      <w:r w:rsidRPr="00775ABC">
        <w:rPr>
          <w:szCs w:val="26"/>
        </w:rPr>
        <w:t>đồng thời liên hệ với thực tế</w:t>
      </w:r>
      <w:r>
        <w:rPr>
          <w:szCs w:val="26"/>
        </w:rPr>
        <w:t xml:space="preserve"> ?</w:t>
      </w:r>
    </w:p>
    <w:p w:rsidR="00A415C0" w:rsidRPr="00ED7521" w:rsidRDefault="00A415C0" w:rsidP="00A415C0">
      <w:pPr>
        <w:numPr>
          <w:ilvl w:val="0"/>
          <w:numId w:val="3"/>
        </w:numPr>
        <w:ind w:left="0" w:firstLine="426"/>
        <w:jc w:val="both"/>
        <w:rPr>
          <w:szCs w:val="26"/>
        </w:rPr>
      </w:pPr>
      <w:r w:rsidRPr="00ED7521">
        <w:rPr>
          <w:szCs w:val="26"/>
        </w:rPr>
        <w:t>Trong nội dung một bài báo đã viết như sau: T</w:t>
      </w:r>
      <w:r w:rsidRPr="00ED7521">
        <w:rPr>
          <w:szCs w:val="26"/>
          <w:lang w:val="vi-VN"/>
        </w:rPr>
        <w:t>iền sau khi được huy động được đổ vào đầu tư công nhằm phục vụ lợi ích chung cho nền kinh tế. Trường hợp này sẽ chỉ có ích ở một mức độ nhất định, nếu việc huy động trái phiếu địa phương quá cao để đổ vào đầu tư công thì đầu tư tư nhân – mắt xích nền kinh tế quốc gia – sẽ bị “buộc lại”.</w:t>
      </w:r>
      <w:r w:rsidRPr="00ED7521">
        <w:rPr>
          <w:szCs w:val="26"/>
        </w:rPr>
        <w:t xml:space="preserve"> Bằng những kiến thức đã biết nhóm hãy chứng minh lập luận rằng: tăng chi tiêu chính phủ (G) sẽ tạo ra hiện tượng lấn át đối với đầu tư (I) trong mô hình kinh tế đóng và lấn át đối với xuất khẩu ròng trong nền kinh tế mở?</w:t>
      </w:r>
    </w:p>
    <w:p w:rsidR="00A415C0" w:rsidRPr="008E3E29" w:rsidRDefault="00A415C0" w:rsidP="00A415C0">
      <w:pPr>
        <w:ind w:left="720"/>
        <w:jc w:val="both"/>
        <w:rPr>
          <w:szCs w:val="26"/>
        </w:rPr>
      </w:pPr>
      <w:r>
        <w:rPr>
          <w:noProof/>
          <w:szCs w:val="26"/>
        </w:rPr>
        <w:drawing>
          <wp:inline distT="0" distB="0" distL="0" distR="0">
            <wp:extent cx="5266690" cy="2534920"/>
            <wp:effectExtent l="0" t="0" r="0" b="0"/>
            <wp:docPr id="6" name="Picture 6" descr="hinhvuichuon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inhvuichuong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66690" cy="2534920"/>
                    </a:xfrm>
                    <a:prstGeom prst="rect">
                      <a:avLst/>
                    </a:prstGeom>
                    <a:noFill/>
                    <a:ln>
                      <a:noFill/>
                    </a:ln>
                  </pic:spPr>
                </pic:pic>
              </a:graphicData>
            </a:graphic>
          </wp:inline>
        </w:drawing>
      </w:r>
    </w:p>
    <w:p w:rsidR="00A415C0" w:rsidRPr="00A415C0" w:rsidRDefault="00A415C0">
      <w:pPr>
        <w:rPr>
          <w:b/>
        </w:rPr>
      </w:pPr>
      <w:r>
        <w:br w:type="page"/>
      </w:r>
    </w:p>
    <w:p w:rsidR="00A415C0" w:rsidRDefault="00A415C0" w:rsidP="00A415C0">
      <w:pPr>
        <w:pStyle w:val="ListParagraph"/>
        <w:numPr>
          <w:ilvl w:val="0"/>
          <w:numId w:val="2"/>
        </w:numPr>
        <w:rPr>
          <w:b/>
        </w:rPr>
      </w:pPr>
      <w:r w:rsidRPr="00A415C0">
        <w:rPr>
          <w:b/>
        </w:rPr>
        <w:lastRenderedPageBreak/>
        <w:t>Bài đọc</w:t>
      </w:r>
    </w:p>
    <w:p w:rsidR="00A415C0" w:rsidRPr="00A415C0" w:rsidRDefault="00A415C0" w:rsidP="00A415C0">
      <w:pPr>
        <w:rPr>
          <w:b/>
        </w:rPr>
      </w:pPr>
      <w:r>
        <w:rPr>
          <w:b/>
        </w:rPr>
        <w:t>II.1</w:t>
      </w:r>
    </w:p>
    <w:tbl>
      <w:tblPr>
        <w:tblW w:w="5159" w:type="pct"/>
        <w:tblCellSpacing w:w="0" w:type="dxa"/>
        <w:shd w:val="clear" w:color="auto" w:fill="FFFFFF"/>
        <w:tblCellMar>
          <w:left w:w="0" w:type="dxa"/>
          <w:right w:w="0" w:type="dxa"/>
        </w:tblCellMar>
        <w:tblLook w:val="04A0" w:firstRow="1" w:lastRow="0" w:firstColumn="1" w:lastColumn="0" w:noHBand="0" w:noVBand="1"/>
      </w:tblPr>
      <w:tblGrid>
        <w:gridCol w:w="480"/>
        <w:gridCol w:w="8880"/>
      </w:tblGrid>
      <w:tr w:rsidR="00643E52" w:rsidRPr="00643E52" w:rsidTr="00643E52">
        <w:trPr>
          <w:tblCellSpacing w:w="0" w:type="dxa"/>
        </w:trPr>
        <w:tc>
          <w:tcPr>
            <w:tcW w:w="0" w:type="auto"/>
            <w:gridSpan w:val="2"/>
            <w:shd w:val="clear" w:color="auto" w:fill="FFFFFF"/>
            <w:vAlign w:val="center"/>
            <w:hideMark/>
          </w:tcPr>
          <w:p w:rsidR="00643E52" w:rsidRPr="00643E52" w:rsidRDefault="00643E52" w:rsidP="00643E52">
            <w:pPr>
              <w:spacing w:before="100" w:beforeAutospacing="1" w:after="100" w:afterAutospacing="1" w:line="344" w:lineRule="atLeast"/>
              <w:outlineLvl w:val="0"/>
              <w:rPr>
                <w:rFonts w:eastAsia="Times New Roman" w:cs="Times New Roman"/>
                <w:b/>
                <w:bCs/>
                <w:kern w:val="36"/>
                <w:sz w:val="24"/>
                <w:szCs w:val="24"/>
              </w:rPr>
            </w:pPr>
            <w:r w:rsidRPr="00643E52">
              <w:rPr>
                <w:rFonts w:eastAsia="Times New Roman" w:cs="Times New Roman"/>
                <w:b/>
                <w:bCs/>
                <w:kern w:val="36"/>
                <w:sz w:val="24"/>
                <w:szCs w:val="24"/>
              </w:rPr>
              <w:t>Hiểu đúng về khu vực công và nợ công</w:t>
            </w:r>
          </w:p>
        </w:tc>
      </w:tr>
      <w:tr w:rsidR="00643E52" w:rsidRPr="00643E52" w:rsidTr="00643E52">
        <w:trPr>
          <w:tblCellSpacing w:w="0" w:type="dxa"/>
        </w:trPr>
        <w:tc>
          <w:tcPr>
            <w:tcW w:w="0" w:type="auto"/>
            <w:gridSpan w:val="2"/>
            <w:shd w:val="clear" w:color="auto" w:fill="FFFFFF"/>
            <w:vAlign w:val="center"/>
            <w:hideMark/>
          </w:tcPr>
          <w:p w:rsidR="00643E52" w:rsidRPr="00643E52" w:rsidRDefault="00643E52" w:rsidP="00643E52">
            <w:pPr>
              <w:spacing w:after="0" w:line="344" w:lineRule="atLeast"/>
              <w:rPr>
                <w:rFonts w:eastAsia="Times New Roman" w:cs="Times New Roman"/>
                <w:sz w:val="24"/>
                <w:szCs w:val="24"/>
              </w:rPr>
            </w:pPr>
            <w:r w:rsidRPr="00643E52">
              <w:rPr>
                <w:rFonts w:eastAsia="Times New Roman" w:cs="Times New Roman"/>
                <w:b/>
                <w:bCs/>
                <w:i/>
                <w:iCs/>
                <w:sz w:val="24"/>
                <w:szCs w:val="24"/>
              </w:rPr>
              <w:t>Vũ Quang Việt</w:t>
            </w:r>
          </w:p>
        </w:tc>
      </w:tr>
      <w:tr w:rsidR="00643E52" w:rsidRPr="00643E52" w:rsidTr="00643E52">
        <w:trPr>
          <w:tblCellSpacing w:w="0" w:type="dxa"/>
        </w:trPr>
        <w:tc>
          <w:tcPr>
            <w:tcW w:w="0" w:type="auto"/>
            <w:gridSpan w:val="2"/>
            <w:shd w:val="clear" w:color="auto" w:fill="FFFFFF"/>
            <w:tcMar>
              <w:top w:w="0" w:type="dxa"/>
              <w:left w:w="0" w:type="dxa"/>
              <w:bottom w:w="75" w:type="dxa"/>
              <w:right w:w="0" w:type="dxa"/>
            </w:tcMar>
            <w:vAlign w:val="center"/>
            <w:hideMark/>
          </w:tcPr>
          <w:p w:rsidR="00643E52" w:rsidRPr="00643E52" w:rsidRDefault="00643E52" w:rsidP="00643E52">
            <w:pPr>
              <w:spacing w:after="0" w:line="344" w:lineRule="atLeast"/>
              <w:rPr>
                <w:rFonts w:eastAsia="Times New Roman" w:cs="Times New Roman"/>
                <w:sz w:val="24"/>
                <w:szCs w:val="24"/>
              </w:rPr>
            </w:pPr>
            <w:r w:rsidRPr="00643E52">
              <w:rPr>
                <w:rFonts w:eastAsia="Times New Roman" w:cs="Times New Roman"/>
                <w:sz w:val="24"/>
                <w:szCs w:val="24"/>
              </w:rPr>
              <w:t>Thứ Sáu,  3/3/2017, 21:17 (GMT+7)</w:t>
            </w:r>
          </w:p>
        </w:tc>
      </w:tr>
      <w:tr w:rsidR="00643E52" w:rsidRPr="00643E52" w:rsidTr="00643E52">
        <w:trPr>
          <w:tblCellSpacing w:w="0" w:type="dxa"/>
        </w:trPr>
        <w:tc>
          <w:tcPr>
            <w:tcW w:w="480" w:type="dxa"/>
            <w:shd w:val="clear" w:color="auto" w:fill="FFFFFF"/>
            <w:tcMar>
              <w:top w:w="90" w:type="dxa"/>
              <w:left w:w="0" w:type="dxa"/>
              <w:bottom w:w="0" w:type="dxa"/>
              <w:right w:w="0" w:type="dxa"/>
            </w:tcMar>
            <w:hideMark/>
          </w:tcPr>
          <w:p w:rsidR="00643E52" w:rsidRPr="00643E52" w:rsidRDefault="00643E52" w:rsidP="00643E52">
            <w:pPr>
              <w:spacing w:after="240" w:line="344" w:lineRule="atLeast"/>
              <w:rPr>
                <w:rFonts w:eastAsia="Times New Roman" w:cs="Times New Roman"/>
                <w:sz w:val="24"/>
                <w:szCs w:val="24"/>
              </w:rPr>
            </w:pPr>
            <w:r w:rsidRPr="00643E52">
              <w:rPr>
                <w:rFonts w:eastAsia="Times New Roman" w:cs="Times New Roman"/>
                <w:sz w:val="24"/>
                <w:szCs w:val="24"/>
              </w:rPr>
              <w:t> </w:t>
            </w:r>
          </w:p>
        </w:tc>
        <w:tc>
          <w:tcPr>
            <w:tcW w:w="0" w:type="auto"/>
            <w:shd w:val="clear" w:color="auto" w:fill="FFFFFF"/>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880"/>
            </w:tblGrid>
            <w:tr w:rsidR="00643E52" w:rsidRPr="00643E52">
              <w:trPr>
                <w:tblCellSpacing w:w="15" w:type="dxa"/>
              </w:trPr>
              <w:tc>
                <w:tcPr>
                  <w:tcW w:w="0" w:type="auto"/>
                  <w:vAlign w:val="center"/>
                  <w:hideMark/>
                </w:tcPr>
                <w:p w:rsidR="00643E52" w:rsidRPr="00643E52" w:rsidRDefault="00643E52" w:rsidP="00643E52">
                  <w:pPr>
                    <w:spacing w:after="144" w:line="240" w:lineRule="auto"/>
                    <w:jc w:val="both"/>
                    <w:rPr>
                      <w:rFonts w:eastAsia="Times New Roman" w:cs="Times New Roman"/>
                      <w:b/>
                      <w:bCs/>
                      <w:sz w:val="24"/>
                      <w:szCs w:val="24"/>
                    </w:rPr>
                  </w:pPr>
                  <w:r w:rsidRPr="00643E52">
                    <w:rPr>
                      <w:rFonts w:eastAsia="Times New Roman" w:cs="Times New Roman"/>
                      <w:b/>
                      <w:bCs/>
                      <w:sz w:val="24"/>
                      <w:szCs w:val="24"/>
                    </w:rPr>
                    <w:t>(TBKTSG) - Về thống kê, nếu xây dựng đầy đủ SNA 2008, ta có thể biết được nợ của chính phủ và nợ của doanh nghiệp tài chính, phi tài chính thuộc nhà nước, tư nhân nội địa và tư nhân nước ngoài cũng như nợ của khu vực công.</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Hệ thống tài khoản quốc gia 2008 (SNA 2008) của Liên hiệp quốc, thay thế các SNA 1993, SNA 1968 trước đó, là nguyên tắc cơ sở cho thống kê kinh tế được soạn thảo và thông qua nhằm xử lý các yếu tố mới trên thị trường mà mọi tổ chức quốc tế có nhiệm vụ thực hiện và các nước được khuyến cáo thực hiện.</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Hệ thống này chia nền kinh tế làm năm khu vực thể chế chính gồm: khu vực doanh nghiệp tài chính, khu vực doanh nghiệp phi tài chính, khu vực chính phủ, khu vực hộ gia đình và khu vực nước ngoài. Ngoài ra, còn có định nghĩa về khu vực công bao gồm chính phủ và doanh nghiệp nhà nước.</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Khi thực hiện theo hệ thống này, ta có thể có thống kê đối với mọi khu vực về giá trị tăng thêm, trao đổi về thu nhập, tài chính giữa các khu vực, cũng như thay đổi về nợ hay tổng số nợ, tổng giá trị tài sản có và giá trị vốn tự có của từng khu vực.</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Người nào quan tâm cũng có thể dễ dàng tìm được các thông tin chuẩn mực trên của Mỹ, Canada, Nhật, Úc và nhiều nước châu Âu vì yêu cầu của chính phủ và thị trường đối với các thống kê trên hàng năm và thậm chí hàng quí.</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Là nguyên tắc quốc tế, nhưng nhiều nước, do điều kiện khác nhau về khả năng tài chính nhằm thu thập thông tin hoặc về chính trị nội địa, vẫn chưa thực hiện.</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Chính vì thế, bài viết này nói rõ thêm về khu vực công và nợ công.</w:t>
                  </w:r>
                </w:p>
                <w:p w:rsidR="00643E52" w:rsidRPr="00643E52" w:rsidRDefault="00643E52" w:rsidP="00643E52">
                  <w:pPr>
                    <w:spacing w:after="144" w:line="240" w:lineRule="auto"/>
                    <w:rPr>
                      <w:rFonts w:eastAsia="Times New Roman" w:cs="Times New Roman"/>
                      <w:b/>
                      <w:bCs/>
                      <w:sz w:val="24"/>
                      <w:szCs w:val="24"/>
                    </w:rPr>
                  </w:pPr>
                  <w:r w:rsidRPr="00643E52">
                    <w:rPr>
                      <w:rFonts w:eastAsia="Times New Roman" w:cs="Times New Roman"/>
                      <w:b/>
                      <w:bCs/>
                      <w:sz w:val="24"/>
                      <w:szCs w:val="24"/>
                    </w:rPr>
                    <w:t>1. Khu vực công (public sector)</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Khu vực công đã được định nghĩa bao gồm (a) khu vực chính phủ và (b) khu vực doanh nghiệp nhà nước.</w:t>
                  </w:r>
                  <w:r w:rsidRPr="00643E52">
                    <w:rPr>
                      <w:rFonts w:eastAsia="Times New Roman" w:cs="Times New Roman"/>
                      <w:sz w:val="24"/>
                      <w:szCs w:val="24"/>
                    </w:rPr>
                    <w:br/>
                    <w:t>Khu vực chính phủ bao gồm các đơn vị chính phủ hoặc đơn vị “vô vị lợi” do chính phủ kiểm soát với nhiệm vụ cung cấp các hàng hóa và dịch vụ công phi thị trường.</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Khu vực này gồm: chính phủ trung ương, chính quyền địa phương và các quỹ bảo hiểm xã hội (gồm quỹ hưu trí cho công nhân viên nhà nước và quỹ bảo hiểm xã hội nói chung cho xã hội kể cả khu vực tư nhân như hưu trí, tuổi già, thất nghiệp, y tế). Cách phân tổ có thể mềm dẻo cho phép xếp các quỹ bảo hiểm vào thẳng chính phủ trung ương và địa phương thay vì xếp riêng rẽ, tùy thuộc vào khu vực chính phủ có trách nhiệm. Các quỹ hưu trí có thể xếp vào từng tiểu khu chính phủ, nhưng quỹ bảo hiểm xã hội (cho thất nghiệp và hưu trí hay người già) chung cho cả nền kinh tế, có đóng góp của cả khu vực tư nhân là trách nhiệm của chính phủ trung ương.</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Khu vực doanh nghiệp nhà nước trong lĩnh vực tài chính và phi tài chính là doanh nghiệp do nhà nước nắm trên một nửa cổ phần hoặc theo quy định của pháp luật có quyền quyết định chính sách và quyền bổ nhiệm hội đồng quản trị hoặc giám đốc.</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 xml:space="preserve">Biên giới giữa khu vực chính phủ và khu vực doanh nghiệp nhà nước là điều cần xác định vì nó là yếu tố quyết định mức thiếu hụt ngân sách và nợ chính phủ. Từ những năm 1980 bắt đầu có sự xuất hiện của các công cụ tài chính mới trên thị trường cho phép chính phủ </w:t>
                  </w:r>
                  <w:r w:rsidRPr="00643E52">
                    <w:rPr>
                      <w:rFonts w:eastAsia="Times New Roman" w:cs="Times New Roman"/>
                      <w:sz w:val="24"/>
                      <w:szCs w:val="24"/>
                    </w:rPr>
                    <w:lastRenderedPageBreak/>
                    <w:t>“làm xiếc” với thiếu hụt ngân sách nhằm giảm lãi suất chính phủ vay hoặc giữ ghế của đảng cầm quyền khỏi bị chỉ trích là chi tiêu quá trớn, đặc biệt ở châu Âu, và nhất là đối với những nước muốn trở thành thành viên của khối EU. Một cách thường làm là chính phủ thiết lập các đơn vị tài chính đặc biệt, thường là ở nước ngoài, do chính phủ trực tiếp điều hành và chỉ đạo, mà đơn vị không có trách nhiệm gì về nợ hay thành quả. Các đơn vị này cho doanh nghiệp nhà nước vay lại để thực hiện chi tiêu của nhà nước.</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Để đối phó với trường hợp này, SNA 2008 quy định là doanh nghiệp tài chính đặc biệt thuộc nhà nước và doanh nghiệp nhà nước có nhiệm vụ chi tiêu đặc biệt cũng phải xếp vào khu vực chính phủ.</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Nợ của quỹ bảo hiểm xã hội (tức là giá trị quỹ đối với người được hưởng tính cho đến lúc chết ở thời điểm hiện tại) phải đưa vào nợ là điểm mới trong SNA 2008.</w:t>
                  </w:r>
                </w:p>
                <w:p w:rsidR="00643E52" w:rsidRPr="00643E52" w:rsidRDefault="00643E52" w:rsidP="00643E52">
                  <w:pPr>
                    <w:spacing w:after="144" w:line="240" w:lineRule="auto"/>
                    <w:rPr>
                      <w:rFonts w:eastAsia="Times New Roman" w:cs="Times New Roman"/>
                      <w:b/>
                      <w:bCs/>
                      <w:sz w:val="24"/>
                      <w:szCs w:val="24"/>
                    </w:rPr>
                  </w:pPr>
                  <w:r w:rsidRPr="00643E52">
                    <w:rPr>
                      <w:rFonts w:eastAsia="Times New Roman" w:cs="Times New Roman"/>
                      <w:b/>
                      <w:bCs/>
                      <w:sz w:val="24"/>
                      <w:szCs w:val="24"/>
                    </w:rPr>
                    <w:t>2. Cần thống kê nợ nào</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Về mặt thống kê, như đã nói, nếu xây dựng đầy đủ SNA 2008, ta có thể biết được nợ của chính phủ và nợ của doanh nghiệp tài chính, phi tài chính thuộc nhà nước, tư nhân nội địa và tư nhân nước ngoài cũng như nợ của khu vực công.</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Tuy nhiên, cho đến nay các tổ chức quốc tế như Quỹ Tiền tệ quốc tế (IMF), Ngân hàng Thế giới (WB) vẫn chậm trong việc thiết kế chỉ tiêu cần thiết về nợ.</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Tài liệu hướng dẫn về quản lý nợ công xuất bản năm 2014 (Revised Guidelines for Public Debt Management) vẫn chủ yếu tập trung vào nợ chính phủ và phân tích các tình huống có thể ảnh hưởng lớn đến chi ngân sách, nhưng lại để cho các nước tự ý ứng dụng cho ý niệm nợ công. Và như thế nợ công ở đây không thể hiểu là nợ của khu vực công theo định nghĩa của SNA.</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Một trong những lý do chưa đổi mới là vì trước khi có SNA 1993, phân tích tài chính giữa các khu vực thể chế trong hệ thống SNA chưa được nhấn mạnh, mà vẫn tập trung chủ yếu vào liên hệ sản xuất giữa các hoạt động kinh tế. IMF hay WB chỉ tập trung vào nợ chính phủ, và vì thế nợ công và nợ chính phủ trước đây được hiểu là đồng nghĩa; và có khi lẫn lộn với ý niệm nợ quốc gia (national debt), mà ở Mỹ, có nghĩa là nợ của chính phủ liên bang; còn ở Anh có nghĩa là nợ của chính phủ trung ương qua phát hành trái phiếu.</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Bản hướng dẫn trên viết: “Quản lý nợ cần bao gồm những trách nhiệm tài chính mà chính phủ thực hiện quyền kiểm soát... Quản lý nợ công rộng như thế nào tùy thuộc vào tính chất của khung chính trị và thể chế của từng nước... Chính quyền trung ương cần theo dõi và tính đến khả năng ảnh hưởng có thể xảy ra do việc bảo lãnh nợ của các chính quyền cấp dưới và doanh nghiệp nhà nước, và nếu được, phải biết đến nghĩa vụ tài chính của cả nợ công và tư”.</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Cách viết như thế thì có nghĩa là nếu cần thì phải xem xét nợ mà chính quyền bảo lãnh, nợ của cả khu vực doanh nghiệp nhà nước và tư nhân.</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Cách viết mở rộng như thế, có thể hiểu là IMF hay WB khi xem xét nợ sẽ đánh giá tình hình của từng nước khác nhau.</w:t>
                  </w:r>
                </w:p>
                <w:p w:rsidR="00643E52" w:rsidRPr="00643E52" w:rsidRDefault="00643E52" w:rsidP="00643E52">
                  <w:pPr>
                    <w:spacing w:after="144" w:line="240" w:lineRule="auto"/>
                    <w:rPr>
                      <w:rFonts w:eastAsia="Times New Roman" w:cs="Times New Roman"/>
                      <w:b/>
                      <w:bCs/>
                      <w:sz w:val="24"/>
                      <w:szCs w:val="24"/>
                    </w:rPr>
                  </w:pPr>
                  <w:r w:rsidRPr="00643E52">
                    <w:rPr>
                      <w:rFonts w:eastAsia="Times New Roman" w:cs="Times New Roman"/>
                      <w:b/>
                      <w:bCs/>
                      <w:sz w:val="24"/>
                      <w:szCs w:val="24"/>
                    </w:rPr>
                    <w:t>3. Nợ công của Việt Nam</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Không như các nước khác có khu vực doanh nghiệp nhà nước không đáng kể, Việt Nam có khu vực doanh nghiệp nhà nước rất lớn, trong rất nhiều trường hợp, dù Chính phủ không bảo lãnh nợ, Chính phủ cũng không thể xóa trách nhiệm trả nợ (mà tài liệu trên gọi là bảo lãnh ngầm).</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 xml:space="preserve">Ngoài ra, nợ đầm đìa có thể đưa đến việc mất khả năng trả nợ, ảnh hưởng đến sản xuất có thể đưa đến phá sản, Chính phủ mất vốn, và đương nhiên đóng góp vào ngân sách qua thuế </w:t>
                  </w:r>
                  <w:r w:rsidRPr="00643E52">
                    <w:rPr>
                      <w:rFonts w:eastAsia="Times New Roman" w:cs="Times New Roman"/>
                      <w:sz w:val="24"/>
                      <w:szCs w:val="24"/>
                    </w:rPr>
                    <w:lastRenderedPageBreak/>
                    <w:t>sẽ giảm hẳn. Chưa hết, số đất đai đưa cho doanh nghiệp nhà nước sử dụng đã có thể tạo ra nguồn ngân sách đáng kể nếu cho tư nhân thuê.</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Nợ công của Việt Nam tính theo định nghĩa ở đây đã công bố trên TBKTSG số ra ngày 9-2-2017 là 210% GDP, gần bằng nợ công của Trung Quốc là 225% GDP. Theo Business Insider (18-2-2017), nợ của Trung Quốc tương đương khoảng 241% GDP vào năm 2015 là nợ của cả nền kinh tế, đến cuối năm 2016 con số này đã cao hơn 250% GDP.</w:t>
                  </w:r>
                </w:p>
                <w:p w:rsidR="00643E52" w:rsidRPr="00643E52" w:rsidRDefault="00643E52" w:rsidP="00643E52">
                  <w:pPr>
                    <w:spacing w:after="144" w:line="240" w:lineRule="auto"/>
                    <w:rPr>
                      <w:rFonts w:eastAsia="Times New Roman" w:cs="Times New Roman"/>
                      <w:sz w:val="24"/>
                      <w:szCs w:val="24"/>
                    </w:rPr>
                  </w:pPr>
                  <w:r w:rsidRPr="00643E52">
                    <w:rPr>
                      <w:rFonts w:eastAsia="Times New Roman" w:cs="Times New Roman"/>
                      <w:sz w:val="24"/>
                      <w:szCs w:val="24"/>
                    </w:rPr>
                    <w:t>Do đó, thống kê về nợ của Việt Nam cần có thống kê về nợ công trong đó có nợ chính phủ, nợ doanh nghiệp nhà nước, cũng như nợ của các khu vực thể chế khác (như nợ của doanh nghiệp tư nhân và hộ gia đình). Mọi khoản nợ, nếu vượt mức an toàn, biến thành nợ xấu, đều có thể tác dụng xấu đến nền kinh tế, kể cả đưa đến khủng hoảng.</w:t>
                  </w:r>
                </w:p>
              </w:tc>
            </w:tr>
          </w:tbl>
          <w:p w:rsidR="00643E52" w:rsidRPr="00643E52" w:rsidRDefault="00643E52" w:rsidP="00643E52">
            <w:pPr>
              <w:spacing w:after="0" w:line="344" w:lineRule="atLeast"/>
              <w:jc w:val="both"/>
              <w:rPr>
                <w:rFonts w:eastAsia="Times New Roman" w:cs="Times New Roman"/>
                <w:b/>
                <w:bCs/>
                <w:sz w:val="24"/>
                <w:szCs w:val="24"/>
              </w:rPr>
            </w:pPr>
          </w:p>
        </w:tc>
      </w:tr>
      <w:tr w:rsidR="00643E52" w:rsidRPr="00643E52" w:rsidTr="00643E52">
        <w:trPr>
          <w:tblCellSpacing w:w="0" w:type="dxa"/>
        </w:trPr>
        <w:tc>
          <w:tcPr>
            <w:tcW w:w="0" w:type="auto"/>
            <w:gridSpan w:val="2"/>
            <w:shd w:val="clear" w:color="auto" w:fill="FFFFFF"/>
            <w:vAlign w:val="center"/>
            <w:hideMark/>
          </w:tcPr>
          <w:p w:rsidR="00A415C0" w:rsidRDefault="00A415C0" w:rsidP="00643E52">
            <w:pPr>
              <w:spacing w:after="0" w:line="240" w:lineRule="auto"/>
              <w:rPr>
                <w:rFonts w:eastAsia="Times New Roman" w:cs="Times New Roman"/>
                <w:b/>
                <w:bCs/>
                <w:sz w:val="24"/>
                <w:szCs w:val="24"/>
              </w:rPr>
            </w:pPr>
            <w:r>
              <w:rPr>
                <w:rFonts w:eastAsia="Times New Roman" w:cs="Times New Roman"/>
                <w:b/>
                <w:bCs/>
                <w:sz w:val="24"/>
                <w:szCs w:val="24"/>
              </w:rPr>
              <w:lastRenderedPageBreak/>
              <w:t>II.2</w:t>
            </w:r>
            <w:bookmarkStart w:id="0" w:name="_GoBack"/>
            <w:bookmarkEnd w:id="0"/>
          </w:p>
          <w:p w:rsidR="00643E52" w:rsidRPr="00643E52" w:rsidRDefault="00643E52" w:rsidP="00643E52">
            <w:pPr>
              <w:spacing w:after="0" w:line="240" w:lineRule="auto"/>
              <w:rPr>
                <w:rFonts w:eastAsia="Times New Roman" w:cs="Times New Roman"/>
                <w:sz w:val="24"/>
                <w:szCs w:val="24"/>
              </w:rPr>
            </w:pPr>
            <w:r w:rsidRPr="00643E52">
              <w:rPr>
                <w:rFonts w:eastAsia="Times New Roman" w:cs="Times New Roman"/>
                <w:b/>
                <w:bCs/>
                <w:sz w:val="24"/>
                <w:szCs w:val="24"/>
              </w:rPr>
              <w:t>Nợ, trả nợ và khủng hoảng</w:t>
            </w:r>
          </w:p>
        </w:tc>
      </w:tr>
      <w:tr w:rsidR="00643E52" w:rsidRPr="00643E52" w:rsidTr="00643E52">
        <w:trPr>
          <w:tblCellSpacing w:w="0" w:type="dxa"/>
        </w:trPr>
        <w:tc>
          <w:tcPr>
            <w:tcW w:w="0" w:type="auto"/>
            <w:gridSpan w:val="2"/>
            <w:shd w:val="clear" w:color="auto" w:fill="FFFFFF"/>
            <w:vAlign w:val="center"/>
            <w:hideMark/>
          </w:tcPr>
          <w:p w:rsidR="00643E52" w:rsidRPr="00643E52" w:rsidRDefault="00643E52" w:rsidP="00643E52">
            <w:pPr>
              <w:spacing w:after="0" w:line="240" w:lineRule="auto"/>
              <w:rPr>
                <w:rFonts w:eastAsia="Times New Roman" w:cs="Times New Roman"/>
                <w:sz w:val="24"/>
                <w:szCs w:val="24"/>
              </w:rPr>
            </w:pPr>
            <w:r w:rsidRPr="00643E52">
              <w:rPr>
                <w:rFonts w:eastAsia="Times New Roman" w:cs="Times New Roman"/>
                <w:sz w:val="24"/>
                <w:szCs w:val="24"/>
              </w:rPr>
              <w:t>Thứ Năm,  9/2/2017, 11:14 (GMT+7)</w:t>
            </w:r>
          </w:p>
        </w:tc>
      </w:tr>
      <w:tr w:rsidR="00643E52" w:rsidRPr="00643E52" w:rsidTr="00643E52">
        <w:trPr>
          <w:tblCellSpacing w:w="0" w:type="dxa"/>
        </w:trPr>
        <w:tc>
          <w:tcPr>
            <w:tcW w:w="0" w:type="auto"/>
            <w:gridSpan w:val="2"/>
            <w:shd w:val="clear" w:color="auto" w:fill="FFFFFF"/>
            <w:hideMark/>
          </w:tcPr>
          <w:p w:rsidR="00643E52" w:rsidRPr="00643E52" w:rsidRDefault="00643E52" w:rsidP="00643E52">
            <w:pPr>
              <w:spacing w:after="144" w:line="240" w:lineRule="auto"/>
              <w:jc w:val="both"/>
              <w:textAlignment w:val="top"/>
              <w:rPr>
                <w:rFonts w:eastAsia="Times New Roman" w:cs="Times New Roman"/>
                <w:b/>
                <w:bCs/>
                <w:sz w:val="24"/>
                <w:szCs w:val="24"/>
              </w:rPr>
            </w:pPr>
            <w:r w:rsidRPr="00643E52">
              <w:rPr>
                <w:rFonts w:eastAsia="Times New Roman" w:cs="Times New Roman"/>
                <w:b/>
                <w:bCs/>
                <w:sz w:val="24"/>
                <w:szCs w:val="24"/>
              </w:rPr>
              <w:t>TS. Vũ Quang Việt</w:t>
            </w:r>
          </w:p>
          <w:p w:rsidR="00643E52" w:rsidRPr="00643E52" w:rsidRDefault="00643E52" w:rsidP="00643E52">
            <w:pPr>
              <w:spacing w:after="144" w:line="240" w:lineRule="auto"/>
              <w:jc w:val="both"/>
              <w:textAlignment w:val="top"/>
              <w:rPr>
                <w:rFonts w:eastAsia="Times New Roman" w:cs="Times New Roman"/>
                <w:b/>
                <w:bCs/>
                <w:sz w:val="24"/>
                <w:szCs w:val="24"/>
              </w:rPr>
            </w:pPr>
            <w:r w:rsidRPr="00643E52">
              <w:rPr>
                <w:rFonts w:eastAsia="Times New Roman" w:cs="Times New Roman"/>
                <w:b/>
                <w:bCs/>
                <w:sz w:val="24"/>
                <w:szCs w:val="24"/>
              </w:rPr>
              <w:t>(TBKTSG) - LTS: Bộ Tài chính đang lấy ý kiến đóng góp cho dự thảo Luật Quản lý nợ công. Trên cơ sở đó, TBKTSG xin giới thiệu bài viết của TS. Vũ Quang Việt như một góp ý cho dự thảo này.</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Nợ công của Việt Nam là vấn đề tranh cãi từ lâu. Nợ của Chính phủ và của doanh nghiệp nhà nước (DNNN) chủ yếu dựa vào tín dụng ngân hàng và phát hành trái phiếu. Cả hai loại nợ này có lẽ cho đến nay ít dựa vào đánh giá khả năng trả nợ mà dựa vào kế hoạch chỉ tiêu (hay lệnh) của cơ quan chủ quản. Nợ chính phủ đòi hỏi tăng thuế để trả nợ. Nợ doanh nghiệp đòi hỏi doanh nghiệp phải giảm đầu tư vì áp lực trả nợ. Cả hai đều kìm hãm tăng trưởng trong nền kinh tế.</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Một minh chứng điển hình là vấn đề nợ của Nhật Bản trong vài chục năm qua đã làm kinh tế Nhật tiếp tục trì trệ. Nếu không thế, phát hành tiền và tăng tín dụng để tài trợ sẽ gây lạm phát.</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Sau một thời gian kìm hãm, nợ công ở Việt Nam có vẻ tăng mạnh, nhất là trong năm 2015 (xem bảng 3, dựa vào số liệu chính thức).</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Thông tin trình bày ở dưới bao gồm nợ của Chính phủ (bao gồm cả nợ doanh nghiệp do Chính phủ bảo lãnh) - mà Bộ Tài chính gọi là nợ công và nợ của DNNN. Số liệu tới năm 2015 dựa vào các nguồn chính thức. Số liệu năm 2016 chủ yếu dựa vào ước tính của tác giả.</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Khu vực công (public sector) theo định nghĩa của Hệ thống Tài khoản quốc gia của Liên hiệp quốc 2008 bao gồm cả Chính phủ và DNNN nên có thể coi nợ công là tổng của nợ chính phủ và nợ của DNNN. Thông tin này là cần thiết, dù Việt Nam vẫn chỉ chú ý đến nợ chính phủ (được gọi là nợ công), nhưng nếu DNNN nào phá sản thì việc trả nợ là do Chính phủ chịu trách nhiệm, dù Chính phủ tuyên bố không có trách nhiệm và nếu giả thiết cho phá sản, đất và tài sản công sẽ bị tịch biên và thuộc về chủ nợ. Vì thế khi phân tích về nợ công, không thể bỏ qua nợ của DNNN. Dù không đồng ý về định nghĩa, cách tốt nhất là Bộ Tài chính nên công bố cả nợ của DNNN vào Bản tin nợ công để các nhà phân tích tùy nghi sử dụng.</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Số liệu tin cậy được cho thấy nợ chính phủ năm 2015 là 115 tỉ đô la Mỹ, bằng 59,5% GDP và ước tính nợ chính phủ năm 2016 lên tới ít nhất 131 tỉ đô la Mỹ, bằng 63,9% GDP. Nợ chính phủ tăng quá nhanh, ở mức gần 35% năm 2015.</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Nợ của DNNN ở đây cho thấy toàn cảnh khoảng 3.200 doanh nghiệp với số nợ theo điều tra của TCTK năm 2014 là 4,9 triệu tỉ đồng (231 tỉ đô la Mỹ), gấp nhiều lần con số 1,5 triệu tỉ đồng mà Bộ Tài chính đưa ra chỉ cho một số tập đoàn và công ty lớn. Ước tính thêm cho thấy năm 2016, nợ của DNNN là 324 tỉ đô la Mỹ, bằng 158% GDP.</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 xml:space="preserve">Như vậy, cộng cả nợ chính phủ và nợ DNNN sau khi trừ đi phần Chính phủ bảo lãnh trùng lặp, </w:t>
            </w:r>
            <w:r w:rsidRPr="00643E52">
              <w:rPr>
                <w:rFonts w:eastAsia="Times New Roman" w:cs="Times New Roman"/>
                <w:sz w:val="24"/>
                <w:szCs w:val="24"/>
              </w:rPr>
              <w:lastRenderedPageBreak/>
              <w:t>tổng số nợ năm 2016 là 431 tỉ đô la Mỹ, bằng 210% GDP.</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Với tỷ lệ nợ lớn như trên, khó lòng nền kinh tế phát triển mạnh. Không những thế thời gian qua, do tăng tín dụng, tăng nợ, lạm phát cuối năm 2016 đã lên đến 4,7% và có khả năng tăng cao hơn trong năm 2017 (xem bảng 4). Điều dễ hiểu là tín dụng tăng mạnh. Lạm phát tăng như trên sẽ đẩy lãi suất lên, có thể tới ít nhất 8%/ năm vào năm 2017, trái ngược với tình hình lạm phát và lãi suất giảm cho đến cuối năm 2015 và những tháng đầu năm 2016. Nợ cao, lãi suất cao, khả năng trả nợ sẽ giảm. Kinh tế khó lòng mà phát triển mạnh, nếu không nói là có thể bị rơi vào khủng hoảng.</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Vấn đề nợ, đặc biệt là nợ chính phủ ngày càng tăng là do chi ngân sách ngày càng tăng, đưa đến thiếu hụt ngân sách lớn, khoảng 5-6% GDP một năm. Thông tin trong quá khứ cho thấy thường tỷ lệ chi ngân sách vượt nghị quyết của Quốc hội 30-40% (xem bài trên TBKTSG số ra ngày 29-10-2015), mà tới hai năm sau mới biết. Như thế, khả năng kiểm soát chi gần như không có. Cách tốt nhất để kiềm chế trong một vài năm tới là đóng băng chi, và đóng băng tăng biên chế (dài lâu hay tạm thời), chỉ cho phép thay thế người về hưu ở vị trí cần thiết. Nếu làm được thế, thu ngân sách tăng, ít nhất theo tốc độ tăng trưởng kinh tế (6%), thiếu hụt ngân sách sẽ bị xóa bỏ nhanh chóng. Chỉ có thể kiểm soát chi tiêu nếu thống kê ngân sách cụ thể, cập nhật và theo đúng chuẩn quốc tế.</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noProof/>
                <w:sz w:val="24"/>
                <w:szCs w:val="24"/>
              </w:rPr>
              <w:drawing>
                <wp:anchor distT="0" distB="0" distL="0" distR="0" simplePos="0" relativeHeight="251658240" behindDoc="0" locked="0" layoutInCell="1" allowOverlap="0" wp14:anchorId="198CB704" wp14:editId="4655CD19">
                  <wp:simplePos x="0" y="0"/>
                  <wp:positionH relativeFrom="column">
                    <wp:align>left</wp:align>
                  </wp:positionH>
                  <wp:positionV relativeFrom="line">
                    <wp:posOffset>0</wp:posOffset>
                  </wp:positionV>
                  <wp:extent cx="5715000" cy="3781425"/>
                  <wp:effectExtent l="0" t="0" r="0" b="9525"/>
                  <wp:wrapSquare wrapText="bothSides"/>
                  <wp:docPr id="5" name="Picture 5" descr="http://mobile.thesaigontimes.vn/Uploads/Articles/156693/f1867_2_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obile.thesaigontimes.vn/Uploads/Articles/156693/f1867_2_60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3781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43E52">
              <w:rPr>
                <w:rFonts w:eastAsia="Times New Roman" w:cs="Times New Roman"/>
                <w:sz w:val="24"/>
                <w:szCs w:val="24"/>
              </w:rPr>
              <w:t> </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 </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 </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 </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 </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 </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 </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 </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 </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 </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 </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 </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 </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 </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 </w:t>
            </w:r>
          </w:p>
          <w:p w:rsidR="00643E52" w:rsidRPr="00643E52" w:rsidRDefault="00643E52" w:rsidP="00643E52">
            <w:pPr>
              <w:spacing w:after="144" w:line="240" w:lineRule="auto"/>
              <w:jc w:val="both"/>
              <w:rPr>
                <w:rFonts w:eastAsia="Times New Roman" w:cs="Times New Roman"/>
                <w:sz w:val="24"/>
                <w:szCs w:val="24"/>
              </w:rPr>
            </w:pPr>
            <w:r w:rsidRPr="00643E52">
              <w:rPr>
                <w:rFonts w:eastAsia="Times New Roman" w:cs="Times New Roman"/>
                <w:sz w:val="24"/>
                <w:szCs w:val="24"/>
              </w:rPr>
              <w:t> </w:t>
            </w:r>
          </w:p>
        </w:tc>
      </w:tr>
    </w:tbl>
    <w:p w:rsidR="009919DE" w:rsidRPr="00643E52" w:rsidRDefault="009919DE">
      <w:pPr>
        <w:rPr>
          <w:rFonts w:cs="Times New Roman"/>
          <w:sz w:val="24"/>
          <w:szCs w:val="24"/>
        </w:rPr>
      </w:pPr>
    </w:p>
    <w:p w:rsidR="00643E52" w:rsidRPr="00643E52" w:rsidRDefault="00643E52">
      <w:pPr>
        <w:rPr>
          <w:rFonts w:cs="Times New Roman"/>
          <w:sz w:val="24"/>
          <w:szCs w:val="24"/>
        </w:rPr>
      </w:pPr>
    </w:p>
    <w:sectPr w:rsidR="00643E52" w:rsidRPr="00643E52" w:rsidSect="007E6EB7">
      <w:pgSz w:w="11907" w:h="16840"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Tahoma">
    <w:panose1 w:val="020B0604030504040204"/>
    <w:charset w:val="A3"/>
    <w:family w:val="swiss"/>
    <w:pitch w:val="variable"/>
    <w:sig w:usb0="20002A87" w:usb1="80000000" w:usb2="00000008"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77F18"/>
    <w:multiLevelType w:val="hybridMultilevel"/>
    <w:tmpl w:val="D2B61CA6"/>
    <w:lvl w:ilvl="0" w:tplc="C4266EB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BB3C87"/>
    <w:multiLevelType w:val="hybridMultilevel"/>
    <w:tmpl w:val="25E41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C503BF"/>
    <w:multiLevelType w:val="hybridMultilevel"/>
    <w:tmpl w:val="43CA1BC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E52"/>
    <w:rsid w:val="00000710"/>
    <w:rsid w:val="00000D13"/>
    <w:rsid w:val="00000F57"/>
    <w:rsid w:val="000015BB"/>
    <w:rsid w:val="00001EDD"/>
    <w:rsid w:val="00002983"/>
    <w:rsid w:val="00003808"/>
    <w:rsid w:val="000050D5"/>
    <w:rsid w:val="000052B8"/>
    <w:rsid w:val="00006D37"/>
    <w:rsid w:val="00007AE8"/>
    <w:rsid w:val="00011F8B"/>
    <w:rsid w:val="00012439"/>
    <w:rsid w:val="00014FE6"/>
    <w:rsid w:val="000155AA"/>
    <w:rsid w:val="000161D0"/>
    <w:rsid w:val="00016CD1"/>
    <w:rsid w:val="00017382"/>
    <w:rsid w:val="00017898"/>
    <w:rsid w:val="0002011D"/>
    <w:rsid w:val="000206E8"/>
    <w:rsid w:val="00020C7C"/>
    <w:rsid w:val="0002179D"/>
    <w:rsid w:val="00021802"/>
    <w:rsid w:val="00021CBE"/>
    <w:rsid w:val="00021D12"/>
    <w:rsid w:val="000221D7"/>
    <w:rsid w:val="00022BEB"/>
    <w:rsid w:val="000236C7"/>
    <w:rsid w:val="000254C6"/>
    <w:rsid w:val="00025EAF"/>
    <w:rsid w:val="000261EC"/>
    <w:rsid w:val="000331AA"/>
    <w:rsid w:val="00035358"/>
    <w:rsid w:val="000357CD"/>
    <w:rsid w:val="00035A54"/>
    <w:rsid w:val="00035B3B"/>
    <w:rsid w:val="00035E2A"/>
    <w:rsid w:val="00036626"/>
    <w:rsid w:val="00037EB0"/>
    <w:rsid w:val="00041D29"/>
    <w:rsid w:val="000424FE"/>
    <w:rsid w:val="000458D3"/>
    <w:rsid w:val="00046FAC"/>
    <w:rsid w:val="00050D06"/>
    <w:rsid w:val="000549C2"/>
    <w:rsid w:val="00054AD6"/>
    <w:rsid w:val="000562DC"/>
    <w:rsid w:val="00057361"/>
    <w:rsid w:val="0005738C"/>
    <w:rsid w:val="0005758F"/>
    <w:rsid w:val="0006142A"/>
    <w:rsid w:val="00062369"/>
    <w:rsid w:val="00062B70"/>
    <w:rsid w:val="00063155"/>
    <w:rsid w:val="0006367D"/>
    <w:rsid w:val="000636B9"/>
    <w:rsid w:val="00063AF2"/>
    <w:rsid w:val="00063D5C"/>
    <w:rsid w:val="00065116"/>
    <w:rsid w:val="000664B2"/>
    <w:rsid w:val="000677BC"/>
    <w:rsid w:val="00070A64"/>
    <w:rsid w:val="00070CF2"/>
    <w:rsid w:val="000729A3"/>
    <w:rsid w:val="00074984"/>
    <w:rsid w:val="00074C22"/>
    <w:rsid w:val="0007515D"/>
    <w:rsid w:val="000756A2"/>
    <w:rsid w:val="00076749"/>
    <w:rsid w:val="00077790"/>
    <w:rsid w:val="000779BC"/>
    <w:rsid w:val="00077E44"/>
    <w:rsid w:val="000816F8"/>
    <w:rsid w:val="000817DB"/>
    <w:rsid w:val="000833E8"/>
    <w:rsid w:val="00083C91"/>
    <w:rsid w:val="00084396"/>
    <w:rsid w:val="00084DF5"/>
    <w:rsid w:val="0008505C"/>
    <w:rsid w:val="00086A43"/>
    <w:rsid w:val="000871AF"/>
    <w:rsid w:val="00087F21"/>
    <w:rsid w:val="00090DA0"/>
    <w:rsid w:val="00093924"/>
    <w:rsid w:val="00094E8F"/>
    <w:rsid w:val="0009517E"/>
    <w:rsid w:val="0009598E"/>
    <w:rsid w:val="00095C21"/>
    <w:rsid w:val="00096040"/>
    <w:rsid w:val="000A0031"/>
    <w:rsid w:val="000A4C79"/>
    <w:rsid w:val="000A4F7B"/>
    <w:rsid w:val="000A5658"/>
    <w:rsid w:val="000A5E77"/>
    <w:rsid w:val="000A611E"/>
    <w:rsid w:val="000A73B9"/>
    <w:rsid w:val="000A7767"/>
    <w:rsid w:val="000A79C1"/>
    <w:rsid w:val="000B1C49"/>
    <w:rsid w:val="000B4B99"/>
    <w:rsid w:val="000B5076"/>
    <w:rsid w:val="000B56E0"/>
    <w:rsid w:val="000B6A4E"/>
    <w:rsid w:val="000B6C6C"/>
    <w:rsid w:val="000C21F4"/>
    <w:rsid w:val="000C478A"/>
    <w:rsid w:val="000C666C"/>
    <w:rsid w:val="000D06AA"/>
    <w:rsid w:val="000D1051"/>
    <w:rsid w:val="000D2232"/>
    <w:rsid w:val="000D31FC"/>
    <w:rsid w:val="000D5E32"/>
    <w:rsid w:val="000D67C3"/>
    <w:rsid w:val="000D75FE"/>
    <w:rsid w:val="000E1725"/>
    <w:rsid w:val="000E468E"/>
    <w:rsid w:val="000E66C8"/>
    <w:rsid w:val="000E6EAB"/>
    <w:rsid w:val="000F07C9"/>
    <w:rsid w:val="000F0D3C"/>
    <w:rsid w:val="000F1C1F"/>
    <w:rsid w:val="000F1E7D"/>
    <w:rsid w:val="000F20AE"/>
    <w:rsid w:val="000F329D"/>
    <w:rsid w:val="000F3559"/>
    <w:rsid w:val="000F3AF1"/>
    <w:rsid w:val="000F645C"/>
    <w:rsid w:val="000F76CB"/>
    <w:rsid w:val="001018A2"/>
    <w:rsid w:val="00101F25"/>
    <w:rsid w:val="001045FF"/>
    <w:rsid w:val="00104B75"/>
    <w:rsid w:val="001057F0"/>
    <w:rsid w:val="00105FC3"/>
    <w:rsid w:val="001074A0"/>
    <w:rsid w:val="00110BB0"/>
    <w:rsid w:val="00112F5A"/>
    <w:rsid w:val="001130B9"/>
    <w:rsid w:val="00114180"/>
    <w:rsid w:val="00114D83"/>
    <w:rsid w:val="00116B81"/>
    <w:rsid w:val="00120948"/>
    <w:rsid w:val="00122A05"/>
    <w:rsid w:val="001245C8"/>
    <w:rsid w:val="00125E7B"/>
    <w:rsid w:val="00126390"/>
    <w:rsid w:val="00127A30"/>
    <w:rsid w:val="00130195"/>
    <w:rsid w:val="00130933"/>
    <w:rsid w:val="00130A44"/>
    <w:rsid w:val="00131098"/>
    <w:rsid w:val="00133F74"/>
    <w:rsid w:val="00136BCE"/>
    <w:rsid w:val="001403B3"/>
    <w:rsid w:val="00142BF0"/>
    <w:rsid w:val="001447A3"/>
    <w:rsid w:val="0014711A"/>
    <w:rsid w:val="001471ED"/>
    <w:rsid w:val="001472D0"/>
    <w:rsid w:val="00152059"/>
    <w:rsid w:val="00152FC3"/>
    <w:rsid w:val="001531FA"/>
    <w:rsid w:val="00156DDD"/>
    <w:rsid w:val="001616CD"/>
    <w:rsid w:val="00161A10"/>
    <w:rsid w:val="0016212C"/>
    <w:rsid w:val="00166AC8"/>
    <w:rsid w:val="001676B0"/>
    <w:rsid w:val="00170493"/>
    <w:rsid w:val="00171A7B"/>
    <w:rsid w:val="00171C9C"/>
    <w:rsid w:val="00174A8F"/>
    <w:rsid w:val="0018072F"/>
    <w:rsid w:val="00183016"/>
    <w:rsid w:val="00184DE3"/>
    <w:rsid w:val="00184F38"/>
    <w:rsid w:val="00185694"/>
    <w:rsid w:val="00186DF6"/>
    <w:rsid w:val="0018753F"/>
    <w:rsid w:val="001876AA"/>
    <w:rsid w:val="001915BF"/>
    <w:rsid w:val="00192D6C"/>
    <w:rsid w:val="001930BB"/>
    <w:rsid w:val="00193B1B"/>
    <w:rsid w:val="00195100"/>
    <w:rsid w:val="0019560A"/>
    <w:rsid w:val="001A0916"/>
    <w:rsid w:val="001A2C9F"/>
    <w:rsid w:val="001A3E61"/>
    <w:rsid w:val="001A43A6"/>
    <w:rsid w:val="001A736F"/>
    <w:rsid w:val="001A7BFC"/>
    <w:rsid w:val="001B127C"/>
    <w:rsid w:val="001B3D5D"/>
    <w:rsid w:val="001B43C1"/>
    <w:rsid w:val="001B77F7"/>
    <w:rsid w:val="001C0F64"/>
    <w:rsid w:val="001C4E38"/>
    <w:rsid w:val="001C732B"/>
    <w:rsid w:val="001C7BF6"/>
    <w:rsid w:val="001D1101"/>
    <w:rsid w:val="001D1F6C"/>
    <w:rsid w:val="001D1FD8"/>
    <w:rsid w:val="001D289F"/>
    <w:rsid w:val="001D2D20"/>
    <w:rsid w:val="001D4298"/>
    <w:rsid w:val="001D450A"/>
    <w:rsid w:val="001D5916"/>
    <w:rsid w:val="001D67A7"/>
    <w:rsid w:val="001E1C04"/>
    <w:rsid w:val="001E1C7E"/>
    <w:rsid w:val="001E2BFD"/>
    <w:rsid w:val="001E31AE"/>
    <w:rsid w:val="001E3B01"/>
    <w:rsid w:val="001E3EF6"/>
    <w:rsid w:val="001E553F"/>
    <w:rsid w:val="001E7A3D"/>
    <w:rsid w:val="001F0745"/>
    <w:rsid w:val="001F3A56"/>
    <w:rsid w:val="001F4363"/>
    <w:rsid w:val="001F5317"/>
    <w:rsid w:val="001F7673"/>
    <w:rsid w:val="0020030C"/>
    <w:rsid w:val="002014F1"/>
    <w:rsid w:val="00201579"/>
    <w:rsid w:val="00203431"/>
    <w:rsid w:val="002038D6"/>
    <w:rsid w:val="0021062C"/>
    <w:rsid w:val="002146FA"/>
    <w:rsid w:val="0022040A"/>
    <w:rsid w:val="00221688"/>
    <w:rsid w:val="00221C35"/>
    <w:rsid w:val="00223D9A"/>
    <w:rsid w:val="00225B53"/>
    <w:rsid w:val="0022666B"/>
    <w:rsid w:val="00227409"/>
    <w:rsid w:val="0022747B"/>
    <w:rsid w:val="00227E9D"/>
    <w:rsid w:val="002310B5"/>
    <w:rsid w:val="00233955"/>
    <w:rsid w:val="002347DC"/>
    <w:rsid w:val="00234FB8"/>
    <w:rsid w:val="00240253"/>
    <w:rsid w:val="002415D3"/>
    <w:rsid w:val="002430A8"/>
    <w:rsid w:val="0024341D"/>
    <w:rsid w:val="00243795"/>
    <w:rsid w:val="00250700"/>
    <w:rsid w:val="00250786"/>
    <w:rsid w:val="00252C08"/>
    <w:rsid w:val="00254B7E"/>
    <w:rsid w:val="00261BEE"/>
    <w:rsid w:val="00262B60"/>
    <w:rsid w:val="00262E27"/>
    <w:rsid w:val="00264EC4"/>
    <w:rsid w:val="0027252D"/>
    <w:rsid w:val="002725D0"/>
    <w:rsid w:val="00277C3C"/>
    <w:rsid w:val="00280674"/>
    <w:rsid w:val="00283D0B"/>
    <w:rsid w:val="00284419"/>
    <w:rsid w:val="00284F94"/>
    <w:rsid w:val="00285477"/>
    <w:rsid w:val="00285EF1"/>
    <w:rsid w:val="0028659E"/>
    <w:rsid w:val="00286D75"/>
    <w:rsid w:val="00287425"/>
    <w:rsid w:val="00287DDB"/>
    <w:rsid w:val="00291828"/>
    <w:rsid w:val="00292137"/>
    <w:rsid w:val="00292E0D"/>
    <w:rsid w:val="00295379"/>
    <w:rsid w:val="0029588D"/>
    <w:rsid w:val="0029682C"/>
    <w:rsid w:val="002969B6"/>
    <w:rsid w:val="002A1F50"/>
    <w:rsid w:val="002A2B0F"/>
    <w:rsid w:val="002A30B4"/>
    <w:rsid w:val="002A4300"/>
    <w:rsid w:val="002A4B50"/>
    <w:rsid w:val="002A5377"/>
    <w:rsid w:val="002A64F4"/>
    <w:rsid w:val="002B08F5"/>
    <w:rsid w:val="002B12BA"/>
    <w:rsid w:val="002B13DE"/>
    <w:rsid w:val="002B4207"/>
    <w:rsid w:val="002B4727"/>
    <w:rsid w:val="002B4B00"/>
    <w:rsid w:val="002C0540"/>
    <w:rsid w:val="002C0FCE"/>
    <w:rsid w:val="002C2A49"/>
    <w:rsid w:val="002C2E64"/>
    <w:rsid w:val="002C33EE"/>
    <w:rsid w:val="002C4311"/>
    <w:rsid w:val="002C4E2F"/>
    <w:rsid w:val="002C4E7C"/>
    <w:rsid w:val="002C4FBF"/>
    <w:rsid w:val="002C5011"/>
    <w:rsid w:val="002C6104"/>
    <w:rsid w:val="002C6519"/>
    <w:rsid w:val="002C759B"/>
    <w:rsid w:val="002C7644"/>
    <w:rsid w:val="002C7C13"/>
    <w:rsid w:val="002D00B3"/>
    <w:rsid w:val="002D3CEE"/>
    <w:rsid w:val="002D3DC3"/>
    <w:rsid w:val="002D5FF9"/>
    <w:rsid w:val="002D7524"/>
    <w:rsid w:val="002E07E3"/>
    <w:rsid w:val="002E0892"/>
    <w:rsid w:val="002E4710"/>
    <w:rsid w:val="002E6C48"/>
    <w:rsid w:val="002E73D7"/>
    <w:rsid w:val="002F0C3E"/>
    <w:rsid w:val="002F133D"/>
    <w:rsid w:val="002F652D"/>
    <w:rsid w:val="00300ACF"/>
    <w:rsid w:val="00301056"/>
    <w:rsid w:val="00301346"/>
    <w:rsid w:val="003019F3"/>
    <w:rsid w:val="00302737"/>
    <w:rsid w:val="00302DF0"/>
    <w:rsid w:val="00310183"/>
    <w:rsid w:val="00311F7C"/>
    <w:rsid w:val="0031334F"/>
    <w:rsid w:val="00313D04"/>
    <w:rsid w:val="00314EE9"/>
    <w:rsid w:val="00316170"/>
    <w:rsid w:val="00316AA6"/>
    <w:rsid w:val="00317653"/>
    <w:rsid w:val="00320B08"/>
    <w:rsid w:val="00322D22"/>
    <w:rsid w:val="00325754"/>
    <w:rsid w:val="0032612C"/>
    <w:rsid w:val="003266BD"/>
    <w:rsid w:val="00326B9F"/>
    <w:rsid w:val="003302E9"/>
    <w:rsid w:val="00330A8B"/>
    <w:rsid w:val="00334C8C"/>
    <w:rsid w:val="003350D1"/>
    <w:rsid w:val="0034036C"/>
    <w:rsid w:val="003436FA"/>
    <w:rsid w:val="0034478B"/>
    <w:rsid w:val="00345C5A"/>
    <w:rsid w:val="0034659D"/>
    <w:rsid w:val="00346EC0"/>
    <w:rsid w:val="00347A7E"/>
    <w:rsid w:val="00347CFF"/>
    <w:rsid w:val="00351207"/>
    <w:rsid w:val="00351ACB"/>
    <w:rsid w:val="00352B2A"/>
    <w:rsid w:val="003549A4"/>
    <w:rsid w:val="0035595C"/>
    <w:rsid w:val="00355DF1"/>
    <w:rsid w:val="0035703F"/>
    <w:rsid w:val="0035711D"/>
    <w:rsid w:val="00357BBB"/>
    <w:rsid w:val="00357BDC"/>
    <w:rsid w:val="00360445"/>
    <w:rsid w:val="00361C0E"/>
    <w:rsid w:val="003620B8"/>
    <w:rsid w:val="0036484E"/>
    <w:rsid w:val="00365DC1"/>
    <w:rsid w:val="0037134F"/>
    <w:rsid w:val="00372BD7"/>
    <w:rsid w:val="00373333"/>
    <w:rsid w:val="00373DAF"/>
    <w:rsid w:val="003808B3"/>
    <w:rsid w:val="00382389"/>
    <w:rsid w:val="00384741"/>
    <w:rsid w:val="003854C8"/>
    <w:rsid w:val="0038581C"/>
    <w:rsid w:val="0038591D"/>
    <w:rsid w:val="00387E62"/>
    <w:rsid w:val="00390D6A"/>
    <w:rsid w:val="00392AD6"/>
    <w:rsid w:val="00393D11"/>
    <w:rsid w:val="00396288"/>
    <w:rsid w:val="0039671C"/>
    <w:rsid w:val="003A2B38"/>
    <w:rsid w:val="003A30A9"/>
    <w:rsid w:val="003A3D43"/>
    <w:rsid w:val="003A4581"/>
    <w:rsid w:val="003A5229"/>
    <w:rsid w:val="003A664F"/>
    <w:rsid w:val="003B0675"/>
    <w:rsid w:val="003B103A"/>
    <w:rsid w:val="003B11E0"/>
    <w:rsid w:val="003B1327"/>
    <w:rsid w:val="003B1352"/>
    <w:rsid w:val="003B3844"/>
    <w:rsid w:val="003B4711"/>
    <w:rsid w:val="003B4F45"/>
    <w:rsid w:val="003B7E0D"/>
    <w:rsid w:val="003C2274"/>
    <w:rsid w:val="003C378D"/>
    <w:rsid w:val="003C38C3"/>
    <w:rsid w:val="003C510A"/>
    <w:rsid w:val="003C7F28"/>
    <w:rsid w:val="003D2B0C"/>
    <w:rsid w:val="003D545D"/>
    <w:rsid w:val="003D5DFE"/>
    <w:rsid w:val="003E049E"/>
    <w:rsid w:val="003E0632"/>
    <w:rsid w:val="003E1004"/>
    <w:rsid w:val="003E1DC8"/>
    <w:rsid w:val="003E1ED9"/>
    <w:rsid w:val="003E208A"/>
    <w:rsid w:val="003E2949"/>
    <w:rsid w:val="003E6CDA"/>
    <w:rsid w:val="003E7B22"/>
    <w:rsid w:val="003F02DE"/>
    <w:rsid w:val="003F0536"/>
    <w:rsid w:val="003F1E36"/>
    <w:rsid w:val="003F1F66"/>
    <w:rsid w:val="003F1F72"/>
    <w:rsid w:val="003F2544"/>
    <w:rsid w:val="003F2B36"/>
    <w:rsid w:val="003F45ED"/>
    <w:rsid w:val="003F751C"/>
    <w:rsid w:val="003F7585"/>
    <w:rsid w:val="003F7FCD"/>
    <w:rsid w:val="0040231A"/>
    <w:rsid w:val="0040453C"/>
    <w:rsid w:val="0040582C"/>
    <w:rsid w:val="00406377"/>
    <w:rsid w:val="00410740"/>
    <w:rsid w:val="00410773"/>
    <w:rsid w:val="0041294A"/>
    <w:rsid w:val="00417DBC"/>
    <w:rsid w:val="004234D0"/>
    <w:rsid w:val="00423969"/>
    <w:rsid w:val="00423A38"/>
    <w:rsid w:val="004245D7"/>
    <w:rsid w:val="00425AC4"/>
    <w:rsid w:val="00426328"/>
    <w:rsid w:val="004267F3"/>
    <w:rsid w:val="004276D7"/>
    <w:rsid w:val="00431850"/>
    <w:rsid w:val="00431D48"/>
    <w:rsid w:val="0043433B"/>
    <w:rsid w:val="00434ADC"/>
    <w:rsid w:val="00435072"/>
    <w:rsid w:val="00435862"/>
    <w:rsid w:val="00437674"/>
    <w:rsid w:val="00437A4E"/>
    <w:rsid w:val="0044091F"/>
    <w:rsid w:val="00440C29"/>
    <w:rsid w:val="00440EEA"/>
    <w:rsid w:val="0044174A"/>
    <w:rsid w:val="00441979"/>
    <w:rsid w:val="00445BBA"/>
    <w:rsid w:val="00446AE5"/>
    <w:rsid w:val="00447465"/>
    <w:rsid w:val="004479BE"/>
    <w:rsid w:val="00447B6B"/>
    <w:rsid w:val="004509D4"/>
    <w:rsid w:val="004542DC"/>
    <w:rsid w:val="00454EA7"/>
    <w:rsid w:val="00454EF7"/>
    <w:rsid w:val="004556B9"/>
    <w:rsid w:val="00461647"/>
    <w:rsid w:val="00461877"/>
    <w:rsid w:val="0046289C"/>
    <w:rsid w:val="00462DCA"/>
    <w:rsid w:val="004662A1"/>
    <w:rsid w:val="00466A28"/>
    <w:rsid w:val="0046753E"/>
    <w:rsid w:val="00467807"/>
    <w:rsid w:val="004707DA"/>
    <w:rsid w:val="00470F2A"/>
    <w:rsid w:val="00471C90"/>
    <w:rsid w:val="00472B0A"/>
    <w:rsid w:val="00473354"/>
    <w:rsid w:val="00473F86"/>
    <w:rsid w:val="00474F50"/>
    <w:rsid w:val="00476B14"/>
    <w:rsid w:val="00476BD0"/>
    <w:rsid w:val="00480DDF"/>
    <w:rsid w:val="00482475"/>
    <w:rsid w:val="00482A5F"/>
    <w:rsid w:val="00484A67"/>
    <w:rsid w:val="004860BA"/>
    <w:rsid w:val="00486FAF"/>
    <w:rsid w:val="004870B2"/>
    <w:rsid w:val="0048799F"/>
    <w:rsid w:val="00490988"/>
    <w:rsid w:val="00492FCE"/>
    <w:rsid w:val="00493D36"/>
    <w:rsid w:val="00494E6A"/>
    <w:rsid w:val="00497BD4"/>
    <w:rsid w:val="004A0755"/>
    <w:rsid w:val="004A0DBC"/>
    <w:rsid w:val="004A10A7"/>
    <w:rsid w:val="004A4BEC"/>
    <w:rsid w:val="004A614D"/>
    <w:rsid w:val="004A7A71"/>
    <w:rsid w:val="004B01F9"/>
    <w:rsid w:val="004B269E"/>
    <w:rsid w:val="004B38F4"/>
    <w:rsid w:val="004B3C8B"/>
    <w:rsid w:val="004B4706"/>
    <w:rsid w:val="004C1FF4"/>
    <w:rsid w:val="004C4560"/>
    <w:rsid w:val="004C505F"/>
    <w:rsid w:val="004C6874"/>
    <w:rsid w:val="004C6EE5"/>
    <w:rsid w:val="004C7E0A"/>
    <w:rsid w:val="004D1217"/>
    <w:rsid w:val="004D164D"/>
    <w:rsid w:val="004D1F97"/>
    <w:rsid w:val="004D31F0"/>
    <w:rsid w:val="004D392F"/>
    <w:rsid w:val="004D48EB"/>
    <w:rsid w:val="004D50DB"/>
    <w:rsid w:val="004D599C"/>
    <w:rsid w:val="004D5F8A"/>
    <w:rsid w:val="004D614A"/>
    <w:rsid w:val="004E196E"/>
    <w:rsid w:val="004E3176"/>
    <w:rsid w:val="004E61E2"/>
    <w:rsid w:val="004E689B"/>
    <w:rsid w:val="004E6FD2"/>
    <w:rsid w:val="004F2372"/>
    <w:rsid w:val="004F3176"/>
    <w:rsid w:val="004F442E"/>
    <w:rsid w:val="004F5BEC"/>
    <w:rsid w:val="004F67C6"/>
    <w:rsid w:val="004F743D"/>
    <w:rsid w:val="004F7C0A"/>
    <w:rsid w:val="00500B6A"/>
    <w:rsid w:val="00501022"/>
    <w:rsid w:val="0050153C"/>
    <w:rsid w:val="0050209A"/>
    <w:rsid w:val="005026E2"/>
    <w:rsid w:val="00505527"/>
    <w:rsid w:val="00505A24"/>
    <w:rsid w:val="00505DF7"/>
    <w:rsid w:val="00505F25"/>
    <w:rsid w:val="0050640C"/>
    <w:rsid w:val="00510C50"/>
    <w:rsid w:val="005115C8"/>
    <w:rsid w:val="00512752"/>
    <w:rsid w:val="005140D7"/>
    <w:rsid w:val="005142D2"/>
    <w:rsid w:val="00514E83"/>
    <w:rsid w:val="00520D34"/>
    <w:rsid w:val="0052135A"/>
    <w:rsid w:val="00521F04"/>
    <w:rsid w:val="00522217"/>
    <w:rsid w:val="0052230D"/>
    <w:rsid w:val="00523490"/>
    <w:rsid w:val="005249C7"/>
    <w:rsid w:val="0052500F"/>
    <w:rsid w:val="0052551E"/>
    <w:rsid w:val="005259F5"/>
    <w:rsid w:val="00527DDD"/>
    <w:rsid w:val="00531F81"/>
    <w:rsid w:val="00532186"/>
    <w:rsid w:val="00536A0F"/>
    <w:rsid w:val="00536F32"/>
    <w:rsid w:val="00537D7C"/>
    <w:rsid w:val="005409B2"/>
    <w:rsid w:val="00540E00"/>
    <w:rsid w:val="0054172C"/>
    <w:rsid w:val="005429B0"/>
    <w:rsid w:val="00542CC6"/>
    <w:rsid w:val="00543003"/>
    <w:rsid w:val="005453E9"/>
    <w:rsid w:val="00546CD6"/>
    <w:rsid w:val="005500B4"/>
    <w:rsid w:val="0055109F"/>
    <w:rsid w:val="005529D2"/>
    <w:rsid w:val="0055417E"/>
    <w:rsid w:val="00554FD0"/>
    <w:rsid w:val="00557D46"/>
    <w:rsid w:val="005607BE"/>
    <w:rsid w:val="0056296F"/>
    <w:rsid w:val="00563471"/>
    <w:rsid w:val="00563C31"/>
    <w:rsid w:val="0057291C"/>
    <w:rsid w:val="00576A0B"/>
    <w:rsid w:val="005827B2"/>
    <w:rsid w:val="00583BB4"/>
    <w:rsid w:val="00584DBB"/>
    <w:rsid w:val="0058604E"/>
    <w:rsid w:val="005869AB"/>
    <w:rsid w:val="005870E0"/>
    <w:rsid w:val="00587F09"/>
    <w:rsid w:val="0059291E"/>
    <w:rsid w:val="0059571C"/>
    <w:rsid w:val="00595C37"/>
    <w:rsid w:val="005961DE"/>
    <w:rsid w:val="00596EE8"/>
    <w:rsid w:val="00597410"/>
    <w:rsid w:val="005A0664"/>
    <w:rsid w:val="005A0843"/>
    <w:rsid w:val="005A0A2E"/>
    <w:rsid w:val="005A0E28"/>
    <w:rsid w:val="005A2F56"/>
    <w:rsid w:val="005A3693"/>
    <w:rsid w:val="005A6DB8"/>
    <w:rsid w:val="005A72EF"/>
    <w:rsid w:val="005B1D82"/>
    <w:rsid w:val="005B1EFF"/>
    <w:rsid w:val="005B26FF"/>
    <w:rsid w:val="005B2A09"/>
    <w:rsid w:val="005B2BE0"/>
    <w:rsid w:val="005B38F6"/>
    <w:rsid w:val="005B4525"/>
    <w:rsid w:val="005B6238"/>
    <w:rsid w:val="005C007B"/>
    <w:rsid w:val="005C0601"/>
    <w:rsid w:val="005C0C08"/>
    <w:rsid w:val="005C1539"/>
    <w:rsid w:val="005C1682"/>
    <w:rsid w:val="005C23FE"/>
    <w:rsid w:val="005C2BE9"/>
    <w:rsid w:val="005C315C"/>
    <w:rsid w:val="005C3161"/>
    <w:rsid w:val="005C6BEE"/>
    <w:rsid w:val="005D0300"/>
    <w:rsid w:val="005D0678"/>
    <w:rsid w:val="005D2AA7"/>
    <w:rsid w:val="005E0183"/>
    <w:rsid w:val="005E057B"/>
    <w:rsid w:val="005E06AC"/>
    <w:rsid w:val="005E06EE"/>
    <w:rsid w:val="005E0E77"/>
    <w:rsid w:val="005E18A1"/>
    <w:rsid w:val="005E29B2"/>
    <w:rsid w:val="005E59D6"/>
    <w:rsid w:val="005E6304"/>
    <w:rsid w:val="005E6A3F"/>
    <w:rsid w:val="005F0429"/>
    <w:rsid w:val="005F1689"/>
    <w:rsid w:val="005F20F1"/>
    <w:rsid w:val="005F3F7D"/>
    <w:rsid w:val="005F56DC"/>
    <w:rsid w:val="005F58CC"/>
    <w:rsid w:val="005F6559"/>
    <w:rsid w:val="005F6917"/>
    <w:rsid w:val="005F77D7"/>
    <w:rsid w:val="00601A24"/>
    <w:rsid w:val="006039F5"/>
    <w:rsid w:val="00605656"/>
    <w:rsid w:val="0060573A"/>
    <w:rsid w:val="00610F45"/>
    <w:rsid w:val="006116B2"/>
    <w:rsid w:val="0061279F"/>
    <w:rsid w:val="00614C2C"/>
    <w:rsid w:val="006156DD"/>
    <w:rsid w:val="00615A60"/>
    <w:rsid w:val="0061694B"/>
    <w:rsid w:val="00616D18"/>
    <w:rsid w:val="00622588"/>
    <w:rsid w:val="00623CDE"/>
    <w:rsid w:val="006255AC"/>
    <w:rsid w:val="00625636"/>
    <w:rsid w:val="006258BE"/>
    <w:rsid w:val="00626344"/>
    <w:rsid w:val="00626D0D"/>
    <w:rsid w:val="006270DA"/>
    <w:rsid w:val="006276BB"/>
    <w:rsid w:val="0062787B"/>
    <w:rsid w:val="0063007A"/>
    <w:rsid w:val="00630527"/>
    <w:rsid w:val="00630A01"/>
    <w:rsid w:val="00634AE4"/>
    <w:rsid w:val="00635320"/>
    <w:rsid w:val="006431A7"/>
    <w:rsid w:val="00643E52"/>
    <w:rsid w:val="00644569"/>
    <w:rsid w:val="006457D0"/>
    <w:rsid w:val="00646406"/>
    <w:rsid w:val="00646822"/>
    <w:rsid w:val="006506F9"/>
    <w:rsid w:val="00651B83"/>
    <w:rsid w:val="00652915"/>
    <w:rsid w:val="00652CDA"/>
    <w:rsid w:val="006531A2"/>
    <w:rsid w:val="00653723"/>
    <w:rsid w:val="006549FE"/>
    <w:rsid w:val="00654AD1"/>
    <w:rsid w:val="00654C03"/>
    <w:rsid w:val="006556F4"/>
    <w:rsid w:val="0065651F"/>
    <w:rsid w:val="00657546"/>
    <w:rsid w:val="00657914"/>
    <w:rsid w:val="006602F6"/>
    <w:rsid w:val="0066077D"/>
    <w:rsid w:val="00661CB0"/>
    <w:rsid w:val="006627B5"/>
    <w:rsid w:val="00662EF8"/>
    <w:rsid w:val="00664EF3"/>
    <w:rsid w:val="0066560D"/>
    <w:rsid w:val="00665FC3"/>
    <w:rsid w:val="00665FF8"/>
    <w:rsid w:val="0066703B"/>
    <w:rsid w:val="00667B9B"/>
    <w:rsid w:val="00671C68"/>
    <w:rsid w:val="00671DE6"/>
    <w:rsid w:val="00673099"/>
    <w:rsid w:val="00674B38"/>
    <w:rsid w:val="006770C8"/>
    <w:rsid w:val="0068015B"/>
    <w:rsid w:val="006802FF"/>
    <w:rsid w:val="006803D0"/>
    <w:rsid w:val="00680403"/>
    <w:rsid w:val="00683D9C"/>
    <w:rsid w:val="00684B97"/>
    <w:rsid w:val="00684D46"/>
    <w:rsid w:val="00686285"/>
    <w:rsid w:val="00687860"/>
    <w:rsid w:val="00687E1B"/>
    <w:rsid w:val="0069282B"/>
    <w:rsid w:val="00692B4F"/>
    <w:rsid w:val="006931D1"/>
    <w:rsid w:val="006949F5"/>
    <w:rsid w:val="00696446"/>
    <w:rsid w:val="006968BF"/>
    <w:rsid w:val="00697600"/>
    <w:rsid w:val="006976DE"/>
    <w:rsid w:val="00697F8F"/>
    <w:rsid w:val="006A0CBB"/>
    <w:rsid w:val="006A131A"/>
    <w:rsid w:val="006A1B27"/>
    <w:rsid w:val="006A1D79"/>
    <w:rsid w:val="006A2080"/>
    <w:rsid w:val="006A2841"/>
    <w:rsid w:val="006A48E6"/>
    <w:rsid w:val="006A4E40"/>
    <w:rsid w:val="006A55F2"/>
    <w:rsid w:val="006A7386"/>
    <w:rsid w:val="006B0C6C"/>
    <w:rsid w:val="006B3079"/>
    <w:rsid w:val="006B3F97"/>
    <w:rsid w:val="006B4266"/>
    <w:rsid w:val="006C0668"/>
    <w:rsid w:val="006C37CB"/>
    <w:rsid w:val="006C4BF2"/>
    <w:rsid w:val="006C5262"/>
    <w:rsid w:val="006D3CE7"/>
    <w:rsid w:val="006D4083"/>
    <w:rsid w:val="006D46B6"/>
    <w:rsid w:val="006D4E0A"/>
    <w:rsid w:val="006D6767"/>
    <w:rsid w:val="006E025E"/>
    <w:rsid w:val="006E1EEC"/>
    <w:rsid w:val="006E2CF7"/>
    <w:rsid w:val="006E2D8C"/>
    <w:rsid w:val="006E40B7"/>
    <w:rsid w:val="006E5B52"/>
    <w:rsid w:val="006E7B2B"/>
    <w:rsid w:val="006F0C2D"/>
    <w:rsid w:val="006F0DB4"/>
    <w:rsid w:val="006F4E5F"/>
    <w:rsid w:val="006F6027"/>
    <w:rsid w:val="00700C0E"/>
    <w:rsid w:val="0070167F"/>
    <w:rsid w:val="00704D4E"/>
    <w:rsid w:val="007124A7"/>
    <w:rsid w:val="007131D4"/>
    <w:rsid w:val="00713B17"/>
    <w:rsid w:val="00716CA9"/>
    <w:rsid w:val="007176BD"/>
    <w:rsid w:val="00722A3F"/>
    <w:rsid w:val="00725B81"/>
    <w:rsid w:val="00730079"/>
    <w:rsid w:val="007303D6"/>
    <w:rsid w:val="007311A1"/>
    <w:rsid w:val="00731E07"/>
    <w:rsid w:val="00734DF9"/>
    <w:rsid w:val="0073639A"/>
    <w:rsid w:val="007374F7"/>
    <w:rsid w:val="007379AD"/>
    <w:rsid w:val="00737BAF"/>
    <w:rsid w:val="00742DE5"/>
    <w:rsid w:val="007432BE"/>
    <w:rsid w:val="0074352C"/>
    <w:rsid w:val="0074430C"/>
    <w:rsid w:val="00744E73"/>
    <w:rsid w:val="00745612"/>
    <w:rsid w:val="0075039A"/>
    <w:rsid w:val="00750E0D"/>
    <w:rsid w:val="00750EC1"/>
    <w:rsid w:val="007524F9"/>
    <w:rsid w:val="00752B63"/>
    <w:rsid w:val="00753865"/>
    <w:rsid w:val="007562C9"/>
    <w:rsid w:val="00756E01"/>
    <w:rsid w:val="0075727B"/>
    <w:rsid w:val="007579A7"/>
    <w:rsid w:val="00761951"/>
    <w:rsid w:val="00761F21"/>
    <w:rsid w:val="00763EBD"/>
    <w:rsid w:val="00764146"/>
    <w:rsid w:val="00764F3E"/>
    <w:rsid w:val="007702EC"/>
    <w:rsid w:val="007712DC"/>
    <w:rsid w:val="00771885"/>
    <w:rsid w:val="00772302"/>
    <w:rsid w:val="00776BBC"/>
    <w:rsid w:val="00776BFE"/>
    <w:rsid w:val="0077733B"/>
    <w:rsid w:val="007776B6"/>
    <w:rsid w:val="00781D97"/>
    <w:rsid w:val="007824A2"/>
    <w:rsid w:val="007852B7"/>
    <w:rsid w:val="0079081F"/>
    <w:rsid w:val="00791A04"/>
    <w:rsid w:val="00791E64"/>
    <w:rsid w:val="007965A5"/>
    <w:rsid w:val="00797819"/>
    <w:rsid w:val="007A231F"/>
    <w:rsid w:val="007A45B5"/>
    <w:rsid w:val="007A7FDB"/>
    <w:rsid w:val="007B0920"/>
    <w:rsid w:val="007B272F"/>
    <w:rsid w:val="007B5624"/>
    <w:rsid w:val="007B5B10"/>
    <w:rsid w:val="007B61EF"/>
    <w:rsid w:val="007B6719"/>
    <w:rsid w:val="007B774D"/>
    <w:rsid w:val="007C0C07"/>
    <w:rsid w:val="007C1A39"/>
    <w:rsid w:val="007C36F2"/>
    <w:rsid w:val="007C4B6D"/>
    <w:rsid w:val="007C656A"/>
    <w:rsid w:val="007C6E8F"/>
    <w:rsid w:val="007D192A"/>
    <w:rsid w:val="007D440F"/>
    <w:rsid w:val="007D5AC0"/>
    <w:rsid w:val="007D5E2C"/>
    <w:rsid w:val="007D79E7"/>
    <w:rsid w:val="007D7A18"/>
    <w:rsid w:val="007E114D"/>
    <w:rsid w:val="007E1D4D"/>
    <w:rsid w:val="007E1FC7"/>
    <w:rsid w:val="007E3BD8"/>
    <w:rsid w:val="007E6AAB"/>
    <w:rsid w:val="007E6EB7"/>
    <w:rsid w:val="007E742B"/>
    <w:rsid w:val="007F044E"/>
    <w:rsid w:val="007F0450"/>
    <w:rsid w:val="007F18DE"/>
    <w:rsid w:val="007F1C60"/>
    <w:rsid w:val="007F37CA"/>
    <w:rsid w:val="007F4E73"/>
    <w:rsid w:val="00801634"/>
    <w:rsid w:val="00806E8B"/>
    <w:rsid w:val="008074B9"/>
    <w:rsid w:val="0080789A"/>
    <w:rsid w:val="0081008C"/>
    <w:rsid w:val="00814923"/>
    <w:rsid w:val="00814D05"/>
    <w:rsid w:val="00815E12"/>
    <w:rsid w:val="00816357"/>
    <w:rsid w:val="00816497"/>
    <w:rsid w:val="00820546"/>
    <w:rsid w:val="00821066"/>
    <w:rsid w:val="00822A65"/>
    <w:rsid w:val="008267CF"/>
    <w:rsid w:val="00826823"/>
    <w:rsid w:val="00832981"/>
    <w:rsid w:val="00833ED0"/>
    <w:rsid w:val="00834C13"/>
    <w:rsid w:val="00835E4C"/>
    <w:rsid w:val="00842F02"/>
    <w:rsid w:val="0084334F"/>
    <w:rsid w:val="0084366F"/>
    <w:rsid w:val="00844BBD"/>
    <w:rsid w:val="00845AC4"/>
    <w:rsid w:val="00847367"/>
    <w:rsid w:val="00847CEC"/>
    <w:rsid w:val="00847ED4"/>
    <w:rsid w:val="00850E40"/>
    <w:rsid w:val="00851B09"/>
    <w:rsid w:val="00853CCD"/>
    <w:rsid w:val="00854CED"/>
    <w:rsid w:val="00857CB5"/>
    <w:rsid w:val="0086022D"/>
    <w:rsid w:val="00861E12"/>
    <w:rsid w:val="00865EDE"/>
    <w:rsid w:val="00865FC5"/>
    <w:rsid w:val="008660B4"/>
    <w:rsid w:val="0086648F"/>
    <w:rsid w:val="008707D2"/>
    <w:rsid w:val="00873F6E"/>
    <w:rsid w:val="00874055"/>
    <w:rsid w:val="008743FA"/>
    <w:rsid w:val="00874CF4"/>
    <w:rsid w:val="008766B5"/>
    <w:rsid w:val="00877CAD"/>
    <w:rsid w:val="00881226"/>
    <w:rsid w:val="00882D86"/>
    <w:rsid w:val="008833F1"/>
    <w:rsid w:val="00883CD5"/>
    <w:rsid w:val="00884597"/>
    <w:rsid w:val="008872F6"/>
    <w:rsid w:val="00887D84"/>
    <w:rsid w:val="00891373"/>
    <w:rsid w:val="00892762"/>
    <w:rsid w:val="00893C06"/>
    <w:rsid w:val="008967F5"/>
    <w:rsid w:val="008968D6"/>
    <w:rsid w:val="00897A75"/>
    <w:rsid w:val="00897ABE"/>
    <w:rsid w:val="008A0A16"/>
    <w:rsid w:val="008A10A2"/>
    <w:rsid w:val="008A15A9"/>
    <w:rsid w:val="008A27C4"/>
    <w:rsid w:val="008A283C"/>
    <w:rsid w:val="008A30D2"/>
    <w:rsid w:val="008A67AD"/>
    <w:rsid w:val="008A7CE4"/>
    <w:rsid w:val="008A7D2F"/>
    <w:rsid w:val="008A7E8E"/>
    <w:rsid w:val="008B19C3"/>
    <w:rsid w:val="008B1BBF"/>
    <w:rsid w:val="008B2531"/>
    <w:rsid w:val="008B3B8C"/>
    <w:rsid w:val="008B561A"/>
    <w:rsid w:val="008B6749"/>
    <w:rsid w:val="008B7F57"/>
    <w:rsid w:val="008C1ECF"/>
    <w:rsid w:val="008C1ED8"/>
    <w:rsid w:val="008C27A3"/>
    <w:rsid w:val="008C3F34"/>
    <w:rsid w:val="008C5B6F"/>
    <w:rsid w:val="008C6567"/>
    <w:rsid w:val="008C6A01"/>
    <w:rsid w:val="008C74F6"/>
    <w:rsid w:val="008D264B"/>
    <w:rsid w:val="008D282B"/>
    <w:rsid w:val="008D2B1E"/>
    <w:rsid w:val="008D38F1"/>
    <w:rsid w:val="008D3CFC"/>
    <w:rsid w:val="008D3E9F"/>
    <w:rsid w:val="008D4B31"/>
    <w:rsid w:val="008E0B82"/>
    <w:rsid w:val="008E15D6"/>
    <w:rsid w:val="008E1DEE"/>
    <w:rsid w:val="008E304A"/>
    <w:rsid w:val="008E3483"/>
    <w:rsid w:val="008E38AB"/>
    <w:rsid w:val="008E3C74"/>
    <w:rsid w:val="008E5A23"/>
    <w:rsid w:val="008E609B"/>
    <w:rsid w:val="008E6F70"/>
    <w:rsid w:val="008F00BA"/>
    <w:rsid w:val="008F2CFA"/>
    <w:rsid w:val="008F5559"/>
    <w:rsid w:val="008F70E2"/>
    <w:rsid w:val="008F748F"/>
    <w:rsid w:val="008F7A80"/>
    <w:rsid w:val="00900C2D"/>
    <w:rsid w:val="009046F9"/>
    <w:rsid w:val="0090497D"/>
    <w:rsid w:val="00906614"/>
    <w:rsid w:val="00911307"/>
    <w:rsid w:val="009127BE"/>
    <w:rsid w:val="00912E9A"/>
    <w:rsid w:val="009132B3"/>
    <w:rsid w:val="00914550"/>
    <w:rsid w:val="00916863"/>
    <w:rsid w:val="00920848"/>
    <w:rsid w:val="00921875"/>
    <w:rsid w:val="00924C0C"/>
    <w:rsid w:val="00927286"/>
    <w:rsid w:val="00927486"/>
    <w:rsid w:val="00930326"/>
    <w:rsid w:val="00932E8A"/>
    <w:rsid w:val="009332BF"/>
    <w:rsid w:val="00934A5F"/>
    <w:rsid w:val="00934AA7"/>
    <w:rsid w:val="00935C4F"/>
    <w:rsid w:val="00937D10"/>
    <w:rsid w:val="00937F9C"/>
    <w:rsid w:val="00940391"/>
    <w:rsid w:val="00940A8E"/>
    <w:rsid w:val="00940BD0"/>
    <w:rsid w:val="009417EE"/>
    <w:rsid w:val="00942528"/>
    <w:rsid w:val="00942C66"/>
    <w:rsid w:val="009432B8"/>
    <w:rsid w:val="00943C61"/>
    <w:rsid w:val="00944284"/>
    <w:rsid w:val="00947B1A"/>
    <w:rsid w:val="00950294"/>
    <w:rsid w:val="00951AC9"/>
    <w:rsid w:val="00951F0C"/>
    <w:rsid w:val="00952A13"/>
    <w:rsid w:val="00952F5E"/>
    <w:rsid w:val="00953973"/>
    <w:rsid w:val="00954A07"/>
    <w:rsid w:val="00955CCB"/>
    <w:rsid w:val="00964DC1"/>
    <w:rsid w:val="009665CA"/>
    <w:rsid w:val="00966C77"/>
    <w:rsid w:val="009670A7"/>
    <w:rsid w:val="00967675"/>
    <w:rsid w:val="009716B4"/>
    <w:rsid w:val="00972E28"/>
    <w:rsid w:val="009768BF"/>
    <w:rsid w:val="00977298"/>
    <w:rsid w:val="009838E6"/>
    <w:rsid w:val="00983C93"/>
    <w:rsid w:val="00983DE3"/>
    <w:rsid w:val="00984850"/>
    <w:rsid w:val="00984B81"/>
    <w:rsid w:val="00985BBD"/>
    <w:rsid w:val="00990F4D"/>
    <w:rsid w:val="009919DE"/>
    <w:rsid w:val="00991D37"/>
    <w:rsid w:val="00991F2C"/>
    <w:rsid w:val="00991FD4"/>
    <w:rsid w:val="0099363E"/>
    <w:rsid w:val="00994161"/>
    <w:rsid w:val="00994281"/>
    <w:rsid w:val="0099519D"/>
    <w:rsid w:val="009967E9"/>
    <w:rsid w:val="00996BC1"/>
    <w:rsid w:val="009A05D4"/>
    <w:rsid w:val="009A080D"/>
    <w:rsid w:val="009A0C68"/>
    <w:rsid w:val="009A0D83"/>
    <w:rsid w:val="009A121E"/>
    <w:rsid w:val="009A243B"/>
    <w:rsid w:val="009A3282"/>
    <w:rsid w:val="009A36FB"/>
    <w:rsid w:val="009A3BF8"/>
    <w:rsid w:val="009A48B1"/>
    <w:rsid w:val="009A576A"/>
    <w:rsid w:val="009A5D74"/>
    <w:rsid w:val="009A6766"/>
    <w:rsid w:val="009B2385"/>
    <w:rsid w:val="009B4649"/>
    <w:rsid w:val="009B5570"/>
    <w:rsid w:val="009B5C80"/>
    <w:rsid w:val="009C0409"/>
    <w:rsid w:val="009C17E1"/>
    <w:rsid w:val="009C1B60"/>
    <w:rsid w:val="009C3E4F"/>
    <w:rsid w:val="009C46AB"/>
    <w:rsid w:val="009C705A"/>
    <w:rsid w:val="009D0D12"/>
    <w:rsid w:val="009D14C2"/>
    <w:rsid w:val="009D1692"/>
    <w:rsid w:val="009D18F3"/>
    <w:rsid w:val="009D270B"/>
    <w:rsid w:val="009D4A7E"/>
    <w:rsid w:val="009D5CCF"/>
    <w:rsid w:val="009D6A83"/>
    <w:rsid w:val="009D6D9E"/>
    <w:rsid w:val="009D6DC2"/>
    <w:rsid w:val="009E2552"/>
    <w:rsid w:val="009E3BE2"/>
    <w:rsid w:val="009E62D4"/>
    <w:rsid w:val="009E636A"/>
    <w:rsid w:val="009E654A"/>
    <w:rsid w:val="009E779C"/>
    <w:rsid w:val="009E7E71"/>
    <w:rsid w:val="009F0134"/>
    <w:rsid w:val="009F04FD"/>
    <w:rsid w:val="009F0E6F"/>
    <w:rsid w:val="009F22A2"/>
    <w:rsid w:val="009F3168"/>
    <w:rsid w:val="009F3E7D"/>
    <w:rsid w:val="009F5AC6"/>
    <w:rsid w:val="009F694B"/>
    <w:rsid w:val="009F7DA1"/>
    <w:rsid w:val="00A031A3"/>
    <w:rsid w:val="00A0370C"/>
    <w:rsid w:val="00A051C2"/>
    <w:rsid w:val="00A05C44"/>
    <w:rsid w:val="00A10148"/>
    <w:rsid w:val="00A10C1D"/>
    <w:rsid w:val="00A10FBE"/>
    <w:rsid w:val="00A1361D"/>
    <w:rsid w:val="00A1722A"/>
    <w:rsid w:val="00A2086B"/>
    <w:rsid w:val="00A213CC"/>
    <w:rsid w:val="00A2210E"/>
    <w:rsid w:val="00A2265A"/>
    <w:rsid w:val="00A22683"/>
    <w:rsid w:val="00A22960"/>
    <w:rsid w:val="00A2310E"/>
    <w:rsid w:val="00A23FEA"/>
    <w:rsid w:val="00A250E6"/>
    <w:rsid w:val="00A25722"/>
    <w:rsid w:val="00A30581"/>
    <w:rsid w:val="00A33B76"/>
    <w:rsid w:val="00A370B0"/>
    <w:rsid w:val="00A415C0"/>
    <w:rsid w:val="00A438B8"/>
    <w:rsid w:val="00A44272"/>
    <w:rsid w:val="00A446EF"/>
    <w:rsid w:val="00A458F6"/>
    <w:rsid w:val="00A46DFB"/>
    <w:rsid w:val="00A47CA8"/>
    <w:rsid w:val="00A502D9"/>
    <w:rsid w:val="00A51576"/>
    <w:rsid w:val="00A5345D"/>
    <w:rsid w:val="00A53C49"/>
    <w:rsid w:val="00A5421A"/>
    <w:rsid w:val="00A564A0"/>
    <w:rsid w:val="00A572CF"/>
    <w:rsid w:val="00A57C42"/>
    <w:rsid w:val="00A609B7"/>
    <w:rsid w:val="00A60E49"/>
    <w:rsid w:val="00A61A0C"/>
    <w:rsid w:val="00A61F7F"/>
    <w:rsid w:val="00A64D24"/>
    <w:rsid w:val="00A67FEA"/>
    <w:rsid w:val="00A7087E"/>
    <w:rsid w:val="00A74040"/>
    <w:rsid w:val="00A754BC"/>
    <w:rsid w:val="00A7552E"/>
    <w:rsid w:val="00A75959"/>
    <w:rsid w:val="00A766B9"/>
    <w:rsid w:val="00A77212"/>
    <w:rsid w:val="00A80260"/>
    <w:rsid w:val="00A80EB7"/>
    <w:rsid w:val="00A81BDE"/>
    <w:rsid w:val="00A81C7B"/>
    <w:rsid w:val="00A85430"/>
    <w:rsid w:val="00A863AA"/>
    <w:rsid w:val="00A913CA"/>
    <w:rsid w:val="00A92764"/>
    <w:rsid w:val="00A9345E"/>
    <w:rsid w:val="00A9384B"/>
    <w:rsid w:val="00A95104"/>
    <w:rsid w:val="00A95999"/>
    <w:rsid w:val="00A96EB9"/>
    <w:rsid w:val="00A97092"/>
    <w:rsid w:val="00A97AD3"/>
    <w:rsid w:val="00AA1F1D"/>
    <w:rsid w:val="00AA23F4"/>
    <w:rsid w:val="00AA264C"/>
    <w:rsid w:val="00AA264E"/>
    <w:rsid w:val="00AA2AE1"/>
    <w:rsid w:val="00AA3762"/>
    <w:rsid w:val="00AA473E"/>
    <w:rsid w:val="00AA5A07"/>
    <w:rsid w:val="00AB0CA1"/>
    <w:rsid w:val="00AB199B"/>
    <w:rsid w:val="00AB290E"/>
    <w:rsid w:val="00AB440B"/>
    <w:rsid w:val="00AB554A"/>
    <w:rsid w:val="00AB5F03"/>
    <w:rsid w:val="00AB753A"/>
    <w:rsid w:val="00AC11C7"/>
    <w:rsid w:val="00AC1976"/>
    <w:rsid w:val="00AC45D6"/>
    <w:rsid w:val="00AC751A"/>
    <w:rsid w:val="00AC7D59"/>
    <w:rsid w:val="00AD0286"/>
    <w:rsid w:val="00AD1F48"/>
    <w:rsid w:val="00AD3030"/>
    <w:rsid w:val="00AD312A"/>
    <w:rsid w:val="00AD33F9"/>
    <w:rsid w:val="00AD550D"/>
    <w:rsid w:val="00AD5949"/>
    <w:rsid w:val="00AD79FB"/>
    <w:rsid w:val="00AE18E9"/>
    <w:rsid w:val="00AE1BAC"/>
    <w:rsid w:val="00AE2114"/>
    <w:rsid w:val="00AE4A2E"/>
    <w:rsid w:val="00AE6A0D"/>
    <w:rsid w:val="00AE7F7A"/>
    <w:rsid w:val="00AF1BA5"/>
    <w:rsid w:val="00AF2A48"/>
    <w:rsid w:val="00AF35AE"/>
    <w:rsid w:val="00AF37FF"/>
    <w:rsid w:val="00AF4005"/>
    <w:rsid w:val="00AF6B27"/>
    <w:rsid w:val="00AF7C39"/>
    <w:rsid w:val="00B00910"/>
    <w:rsid w:val="00B00938"/>
    <w:rsid w:val="00B04CED"/>
    <w:rsid w:val="00B053A0"/>
    <w:rsid w:val="00B07DAC"/>
    <w:rsid w:val="00B10234"/>
    <w:rsid w:val="00B113D9"/>
    <w:rsid w:val="00B128BF"/>
    <w:rsid w:val="00B14BC6"/>
    <w:rsid w:val="00B176ED"/>
    <w:rsid w:val="00B17ED8"/>
    <w:rsid w:val="00B2037E"/>
    <w:rsid w:val="00B20C1A"/>
    <w:rsid w:val="00B20DD5"/>
    <w:rsid w:val="00B22F74"/>
    <w:rsid w:val="00B23AA9"/>
    <w:rsid w:val="00B249BD"/>
    <w:rsid w:val="00B25210"/>
    <w:rsid w:val="00B258F1"/>
    <w:rsid w:val="00B26B82"/>
    <w:rsid w:val="00B27A2E"/>
    <w:rsid w:val="00B311F1"/>
    <w:rsid w:val="00B36EA8"/>
    <w:rsid w:val="00B37663"/>
    <w:rsid w:val="00B418AA"/>
    <w:rsid w:val="00B42485"/>
    <w:rsid w:val="00B4592B"/>
    <w:rsid w:val="00B503DC"/>
    <w:rsid w:val="00B51CE7"/>
    <w:rsid w:val="00B53BC9"/>
    <w:rsid w:val="00B570BE"/>
    <w:rsid w:val="00B57AEE"/>
    <w:rsid w:val="00B61820"/>
    <w:rsid w:val="00B62EBE"/>
    <w:rsid w:val="00B6556D"/>
    <w:rsid w:val="00B6623A"/>
    <w:rsid w:val="00B66286"/>
    <w:rsid w:val="00B71072"/>
    <w:rsid w:val="00B718A3"/>
    <w:rsid w:val="00B72337"/>
    <w:rsid w:val="00B73524"/>
    <w:rsid w:val="00B73896"/>
    <w:rsid w:val="00B73B3E"/>
    <w:rsid w:val="00B754CC"/>
    <w:rsid w:val="00B760B5"/>
    <w:rsid w:val="00B77E50"/>
    <w:rsid w:val="00B80498"/>
    <w:rsid w:val="00B81A71"/>
    <w:rsid w:val="00B82993"/>
    <w:rsid w:val="00B85CC5"/>
    <w:rsid w:val="00B86132"/>
    <w:rsid w:val="00B86F44"/>
    <w:rsid w:val="00B90F1E"/>
    <w:rsid w:val="00B913A0"/>
    <w:rsid w:val="00B9225F"/>
    <w:rsid w:val="00B92486"/>
    <w:rsid w:val="00B937D3"/>
    <w:rsid w:val="00B96647"/>
    <w:rsid w:val="00B97CDE"/>
    <w:rsid w:val="00BA158F"/>
    <w:rsid w:val="00BA5507"/>
    <w:rsid w:val="00BA645C"/>
    <w:rsid w:val="00BA6998"/>
    <w:rsid w:val="00BA72B7"/>
    <w:rsid w:val="00BA7C71"/>
    <w:rsid w:val="00BB0D5C"/>
    <w:rsid w:val="00BB29B4"/>
    <w:rsid w:val="00BB3E37"/>
    <w:rsid w:val="00BB611F"/>
    <w:rsid w:val="00BB6457"/>
    <w:rsid w:val="00BB6916"/>
    <w:rsid w:val="00BC0C5D"/>
    <w:rsid w:val="00BC31D6"/>
    <w:rsid w:val="00BC5AC7"/>
    <w:rsid w:val="00BC6033"/>
    <w:rsid w:val="00BC6DF0"/>
    <w:rsid w:val="00BC7673"/>
    <w:rsid w:val="00BD1E6B"/>
    <w:rsid w:val="00BD2E1C"/>
    <w:rsid w:val="00BD333C"/>
    <w:rsid w:val="00BD39AE"/>
    <w:rsid w:val="00BD4933"/>
    <w:rsid w:val="00BE14EC"/>
    <w:rsid w:val="00BE1CFB"/>
    <w:rsid w:val="00BE1EB9"/>
    <w:rsid w:val="00BE4645"/>
    <w:rsid w:val="00BE57F7"/>
    <w:rsid w:val="00BF07E4"/>
    <w:rsid w:val="00BF137E"/>
    <w:rsid w:val="00BF1A78"/>
    <w:rsid w:val="00BF1B85"/>
    <w:rsid w:val="00BF2DF0"/>
    <w:rsid w:val="00BF3262"/>
    <w:rsid w:val="00BF7DC8"/>
    <w:rsid w:val="00C03458"/>
    <w:rsid w:val="00C03FFC"/>
    <w:rsid w:val="00C0442B"/>
    <w:rsid w:val="00C06585"/>
    <w:rsid w:val="00C066FA"/>
    <w:rsid w:val="00C07808"/>
    <w:rsid w:val="00C07C06"/>
    <w:rsid w:val="00C121A5"/>
    <w:rsid w:val="00C1248D"/>
    <w:rsid w:val="00C16194"/>
    <w:rsid w:val="00C17359"/>
    <w:rsid w:val="00C17D26"/>
    <w:rsid w:val="00C17EEE"/>
    <w:rsid w:val="00C20388"/>
    <w:rsid w:val="00C21031"/>
    <w:rsid w:val="00C21F8D"/>
    <w:rsid w:val="00C22B7C"/>
    <w:rsid w:val="00C23FCC"/>
    <w:rsid w:val="00C24CC0"/>
    <w:rsid w:val="00C2523C"/>
    <w:rsid w:val="00C25B67"/>
    <w:rsid w:val="00C26173"/>
    <w:rsid w:val="00C26BD1"/>
    <w:rsid w:val="00C30D0C"/>
    <w:rsid w:val="00C342C7"/>
    <w:rsid w:val="00C41A60"/>
    <w:rsid w:val="00C41FBA"/>
    <w:rsid w:val="00C42076"/>
    <w:rsid w:val="00C42707"/>
    <w:rsid w:val="00C42C81"/>
    <w:rsid w:val="00C4359E"/>
    <w:rsid w:val="00C456F1"/>
    <w:rsid w:val="00C47783"/>
    <w:rsid w:val="00C5006F"/>
    <w:rsid w:val="00C501AB"/>
    <w:rsid w:val="00C50D9B"/>
    <w:rsid w:val="00C50E71"/>
    <w:rsid w:val="00C51729"/>
    <w:rsid w:val="00C53D84"/>
    <w:rsid w:val="00C543D4"/>
    <w:rsid w:val="00C548D4"/>
    <w:rsid w:val="00C57C30"/>
    <w:rsid w:val="00C6026A"/>
    <w:rsid w:val="00C60AF7"/>
    <w:rsid w:val="00C61BBD"/>
    <w:rsid w:val="00C62895"/>
    <w:rsid w:val="00C6719A"/>
    <w:rsid w:val="00C675BD"/>
    <w:rsid w:val="00C70EB0"/>
    <w:rsid w:val="00C720D7"/>
    <w:rsid w:val="00C7589F"/>
    <w:rsid w:val="00C8066C"/>
    <w:rsid w:val="00C82545"/>
    <w:rsid w:val="00C83B6F"/>
    <w:rsid w:val="00C844C5"/>
    <w:rsid w:val="00C901D2"/>
    <w:rsid w:val="00C911F6"/>
    <w:rsid w:val="00C92325"/>
    <w:rsid w:val="00C95EDD"/>
    <w:rsid w:val="00C95FB4"/>
    <w:rsid w:val="00C962A1"/>
    <w:rsid w:val="00CA2343"/>
    <w:rsid w:val="00CA3047"/>
    <w:rsid w:val="00CA4D67"/>
    <w:rsid w:val="00CA5876"/>
    <w:rsid w:val="00CA5C81"/>
    <w:rsid w:val="00CA68E8"/>
    <w:rsid w:val="00CA6FD0"/>
    <w:rsid w:val="00CB039E"/>
    <w:rsid w:val="00CB0588"/>
    <w:rsid w:val="00CB0A4B"/>
    <w:rsid w:val="00CB198E"/>
    <w:rsid w:val="00CB207B"/>
    <w:rsid w:val="00CB2294"/>
    <w:rsid w:val="00CB3F74"/>
    <w:rsid w:val="00CB428D"/>
    <w:rsid w:val="00CB508B"/>
    <w:rsid w:val="00CB65EB"/>
    <w:rsid w:val="00CB73CE"/>
    <w:rsid w:val="00CC039D"/>
    <w:rsid w:val="00CC0DAF"/>
    <w:rsid w:val="00CC1456"/>
    <w:rsid w:val="00CC21E9"/>
    <w:rsid w:val="00CC2244"/>
    <w:rsid w:val="00CC23F3"/>
    <w:rsid w:val="00CC23F8"/>
    <w:rsid w:val="00CC2765"/>
    <w:rsid w:val="00CC2948"/>
    <w:rsid w:val="00CC4E91"/>
    <w:rsid w:val="00CC7792"/>
    <w:rsid w:val="00CD3B22"/>
    <w:rsid w:val="00CD3C5C"/>
    <w:rsid w:val="00CD3EE2"/>
    <w:rsid w:val="00CD460B"/>
    <w:rsid w:val="00CD492B"/>
    <w:rsid w:val="00CD5BE1"/>
    <w:rsid w:val="00CD778A"/>
    <w:rsid w:val="00CE0230"/>
    <w:rsid w:val="00CE189D"/>
    <w:rsid w:val="00CE2267"/>
    <w:rsid w:val="00CE2C4D"/>
    <w:rsid w:val="00CE302F"/>
    <w:rsid w:val="00CE3199"/>
    <w:rsid w:val="00CE32F9"/>
    <w:rsid w:val="00CE6204"/>
    <w:rsid w:val="00CE6AD4"/>
    <w:rsid w:val="00CE6C87"/>
    <w:rsid w:val="00CE7BF5"/>
    <w:rsid w:val="00CF1723"/>
    <w:rsid w:val="00CF1B22"/>
    <w:rsid w:val="00CF4ABA"/>
    <w:rsid w:val="00CF506E"/>
    <w:rsid w:val="00CF6C8B"/>
    <w:rsid w:val="00CF7558"/>
    <w:rsid w:val="00CF78C7"/>
    <w:rsid w:val="00D00682"/>
    <w:rsid w:val="00D063EF"/>
    <w:rsid w:val="00D06B6D"/>
    <w:rsid w:val="00D07232"/>
    <w:rsid w:val="00D12798"/>
    <w:rsid w:val="00D144C0"/>
    <w:rsid w:val="00D16317"/>
    <w:rsid w:val="00D21139"/>
    <w:rsid w:val="00D236EA"/>
    <w:rsid w:val="00D23BD3"/>
    <w:rsid w:val="00D276B1"/>
    <w:rsid w:val="00D30E1E"/>
    <w:rsid w:val="00D31426"/>
    <w:rsid w:val="00D317EF"/>
    <w:rsid w:val="00D32848"/>
    <w:rsid w:val="00D32F6F"/>
    <w:rsid w:val="00D33CFE"/>
    <w:rsid w:val="00D34C93"/>
    <w:rsid w:val="00D35BE9"/>
    <w:rsid w:val="00D36605"/>
    <w:rsid w:val="00D36A7B"/>
    <w:rsid w:val="00D409FC"/>
    <w:rsid w:val="00D4101D"/>
    <w:rsid w:val="00D43C1D"/>
    <w:rsid w:val="00D4423D"/>
    <w:rsid w:val="00D450D3"/>
    <w:rsid w:val="00D45C54"/>
    <w:rsid w:val="00D46A80"/>
    <w:rsid w:val="00D46AA3"/>
    <w:rsid w:val="00D512D2"/>
    <w:rsid w:val="00D518F8"/>
    <w:rsid w:val="00D52742"/>
    <w:rsid w:val="00D52E69"/>
    <w:rsid w:val="00D531CD"/>
    <w:rsid w:val="00D5696E"/>
    <w:rsid w:val="00D6445B"/>
    <w:rsid w:val="00D67DE4"/>
    <w:rsid w:val="00D67FF3"/>
    <w:rsid w:val="00D710DD"/>
    <w:rsid w:val="00D7325D"/>
    <w:rsid w:val="00D74078"/>
    <w:rsid w:val="00D77B71"/>
    <w:rsid w:val="00D81A7A"/>
    <w:rsid w:val="00D84DD1"/>
    <w:rsid w:val="00D85A25"/>
    <w:rsid w:val="00D869D3"/>
    <w:rsid w:val="00D87024"/>
    <w:rsid w:val="00D87913"/>
    <w:rsid w:val="00D87AA1"/>
    <w:rsid w:val="00D87E18"/>
    <w:rsid w:val="00D87E8E"/>
    <w:rsid w:val="00D90C3C"/>
    <w:rsid w:val="00D9211C"/>
    <w:rsid w:val="00D92364"/>
    <w:rsid w:val="00D9254D"/>
    <w:rsid w:val="00D92B03"/>
    <w:rsid w:val="00D93AFC"/>
    <w:rsid w:val="00D94214"/>
    <w:rsid w:val="00D94597"/>
    <w:rsid w:val="00D95F85"/>
    <w:rsid w:val="00D97452"/>
    <w:rsid w:val="00DA071E"/>
    <w:rsid w:val="00DA0869"/>
    <w:rsid w:val="00DA3242"/>
    <w:rsid w:val="00DA5027"/>
    <w:rsid w:val="00DA7563"/>
    <w:rsid w:val="00DB4297"/>
    <w:rsid w:val="00DB5482"/>
    <w:rsid w:val="00DB6211"/>
    <w:rsid w:val="00DB75D2"/>
    <w:rsid w:val="00DC0141"/>
    <w:rsid w:val="00DC28A3"/>
    <w:rsid w:val="00DC5421"/>
    <w:rsid w:val="00DC692E"/>
    <w:rsid w:val="00DC6B04"/>
    <w:rsid w:val="00DC7338"/>
    <w:rsid w:val="00DD00C8"/>
    <w:rsid w:val="00DD0F8D"/>
    <w:rsid w:val="00DD1C16"/>
    <w:rsid w:val="00DD2499"/>
    <w:rsid w:val="00DD5A96"/>
    <w:rsid w:val="00DD609C"/>
    <w:rsid w:val="00DD7CD4"/>
    <w:rsid w:val="00DE1801"/>
    <w:rsid w:val="00DE22CE"/>
    <w:rsid w:val="00DE4E0E"/>
    <w:rsid w:val="00DE5639"/>
    <w:rsid w:val="00DF075E"/>
    <w:rsid w:val="00DF2A52"/>
    <w:rsid w:val="00DF4A60"/>
    <w:rsid w:val="00DF562B"/>
    <w:rsid w:val="00DF6182"/>
    <w:rsid w:val="00E018CB"/>
    <w:rsid w:val="00E03AD7"/>
    <w:rsid w:val="00E05A5B"/>
    <w:rsid w:val="00E07F51"/>
    <w:rsid w:val="00E11ACE"/>
    <w:rsid w:val="00E11D1F"/>
    <w:rsid w:val="00E1208B"/>
    <w:rsid w:val="00E12907"/>
    <w:rsid w:val="00E12B4F"/>
    <w:rsid w:val="00E130B0"/>
    <w:rsid w:val="00E132CF"/>
    <w:rsid w:val="00E1344D"/>
    <w:rsid w:val="00E14770"/>
    <w:rsid w:val="00E14832"/>
    <w:rsid w:val="00E170F0"/>
    <w:rsid w:val="00E20609"/>
    <w:rsid w:val="00E20D1C"/>
    <w:rsid w:val="00E227C0"/>
    <w:rsid w:val="00E23223"/>
    <w:rsid w:val="00E23D9A"/>
    <w:rsid w:val="00E240BA"/>
    <w:rsid w:val="00E243A2"/>
    <w:rsid w:val="00E24851"/>
    <w:rsid w:val="00E24B47"/>
    <w:rsid w:val="00E304B6"/>
    <w:rsid w:val="00E314C1"/>
    <w:rsid w:val="00E33BEA"/>
    <w:rsid w:val="00E34232"/>
    <w:rsid w:val="00E40DB1"/>
    <w:rsid w:val="00E410AA"/>
    <w:rsid w:val="00E46CC8"/>
    <w:rsid w:val="00E46E35"/>
    <w:rsid w:val="00E46F18"/>
    <w:rsid w:val="00E47486"/>
    <w:rsid w:val="00E476E4"/>
    <w:rsid w:val="00E51B28"/>
    <w:rsid w:val="00E52933"/>
    <w:rsid w:val="00E532EB"/>
    <w:rsid w:val="00E533C3"/>
    <w:rsid w:val="00E54658"/>
    <w:rsid w:val="00E55B87"/>
    <w:rsid w:val="00E617C5"/>
    <w:rsid w:val="00E62F76"/>
    <w:rsid w:val="00E654D4"/>
    <w:rsid w:val="00E6736F"/>
    <w:rsid w:val="00E70AD2"/>
    <w:rsid w:val="00E73672"/>
    <w:rsid w:val="00E741D7"/>
    <w:rsid w:val="00E752A0"/>
    <w:rsid w:val="00E75ADE"/>
    <w:rsid w:val="00E812A4"/>
    <w:rsid w:val="00E8156F"/>
    <w:rsid w:val="00E81E1D"/>
    <w:rsid w:val="00E8214B"/>
    <w:rsid w:val="00E82319"/>
    <w:rsid w:val="00E825B4"/>
    <w:rsid w:val="00E82D77"/>
    <w:rsid w:val="00E84394"/>
    <w:rsid w:val="00E84574"/>
    <w:rsid w:val="00E859EB"/>
    <w:rsid w:val="00E85EFB"/>
    <w:rsid w:val="00E87091"/>
    <w:rsid w:val="00E87720"/>
    <w:rsid w:val="00E920EC"/>
    <w:rsid w:val="00E926FF"/>
    <w:rsid w:val="00E92FE6"/>
    <w:rsid w:val="00E95737"/>
    <w:rsid w:val="00E97BCF"/>
    <w:rsid w:val="00EA0CA4"/>
    <w:rsid w:val="00EA278E"/>
    <w:rsid w:val="00EA3CB7"/>
    <w:rsid w:val="00EA428C"/>
    <w:rsid w:val="00EA42ED"/>
    <w:rsid w:val="00EA4852"/>
    <w:rsid w:val="00EA6C8A"/>
    <w:rsid w:val="00EA7071"/>
    <w:rsid w:val="00EB1988"/>
    <w:rsid w:val="00EB2AAD"/>
    <w:rsid w:val="00EB3F9B"/>
    <w:rsid w:val="00EB4D6B"/>
    <w:rsid w:val="00EB5011"/>
    <w:rsid w:val="00EB64B4"/>
    <w:rsid w:val="00EB7B26"/>
    <w:rsid w:val="00EC48E5"/>
    <w:rsid w:val="00EC66E1"/>
    <w:rsid w:val="00EC6DF8"/>
    <w:rsid w:val="00EC725D"/>
    <w:rsid w:val="00ED0767"/>
    <w:rsid w:val="00ED0EB8"/>
    <w:rsid w:val="00ED110F"/>
    <w:rsid w:val="00ED3247"/>
    <w:rsid w:val="00ED6762"/>
    <w:rsid w:val="00ED6E8F"/>
    <w:rsid w:val="00ED6EF8"/>
    <w:rsid w:val="00ED76C0"/>
    <w:rsid w:val="00EE084F"/>
    <w:rsid w:val="00EE2A8A"/>
    <w:rsid w:val="00EE2FA1"/>
    <w:rsid w:val="00EE46C0"/>
    <w:rsid w:val="00EE572B"/>
    <w:rsid w:val="00EE7A22"/>
    <w:rsid w:val="00EF0E1E"/>
    <w:rsid w:val="00EF2D6D"/>
    <w:rsid w:val="00EF4E12"/>
    <w:rsid w:val="00EF54AA"/>
    <w:rsid w:val="00EF7366"/>
    <w:rsid w:val="00EF7BF9"/>
    <w:rsid w:val="00F00176"/>
    <w:rsid w:val="00F011E2"/>
    <w:rsid w:val="00F01742"/>
    <w:rsid w:val="00F01748"/>
    <w:rsid w:val="00F0258D"/>
    <w:rsid w:val="00F0298F"/>
    <w:rsid w:val="00F03094"/>
    <w:rsid w:val="00F05608"/>
    <w:rsid w:val="00F05EDB"/>
    <w:rsid w:val="00F06442"/>
    <w:rsid w:val="00F10689"/>
    <w:rsid w:val="00F11724"/>
    <w:rsid w:val="00F1321C"/>
    <w:rsid w:val="00F13A26"/>
    <w:rsid w:val="00F1429C"/>
    <w:rsid w:val="00F143A7"/>
    <w:rsid w:val="00F1461E"/>
    <w:rsid w:val="00F20494"/>
    <w:rsid w:val="00F20D5C"/>
    <w:rsid w:val="00F2314A"/>
    <w:rsid w:val="00F23AC1"/>
    <w:rsid w:val="00F23EA0"/>
    <w:rsid w:val="00F25B8C"/>
    <w:rsid w:val="00F31B56"/>
    <w:rsid w:val="00F3391D"/>
    <w:rsid w:val="00F345E8"/>
    <w:rsid w:val="00F3477C"/>
    <w:rsid w:val="00F35BD9"/>
    <w:rsid w:val="00F3738A"/>
    <w:rsid w:val="00F37622"/>
    <w:rsid w:val="00F40704"/>
    <w:rsid w:val="00F41EE4"/>
    <w:rsid w:val="00F43250"/>
    <w:rsid w:val="00F46A69"/>
    <w:rsid w:val="00F47509"/>
    <w:rsid w:val="00F47AA1"/>
    <w:rsid w:val="00F47CA7"/>
    <w:rsid w:val="00F50828"/>
    <w:rsid w:val="00F52FF3"/>
    <w:rsid w:val="00F530C4"/>
    <w:rsid w:val="00F55707"/>
    <w:rsid w:val="00F60044"/>
    <w:rsid w:val="00F603C5"/>
    <w:rsid w:val="00F60DBC"/>
    <w:rsid w:val="00F61EC6"/>
    <w:rsid w:val="00F62AF4"/>
    <w:rsid w:val="00F64C03"/>
    <w:rsid w:val="00F66248"/>
    <w:rsid w:val="00F66613"/>
    <w:rsid w:val="00F673CF"/>
    <w:rsid w:val="00F70E45"/>
    <w:rsid w:val="00F72A6A"/>
    <w:rsid w:val="00F73671"/>
    <w:rsid w:val="00F7596E"/>
    <w:rsid w:val="00F76E4E"/>
    <w:rsid w:val="00F77514"/>
    <w:rsid w:val="00F77FC2"/>
    <w:rsid w:val="00F81D0D"/>
    <w:rsid w:val="00F826DB"/>
    <w:rsid w:val="00F8455C"/>
    <w:rsid w:val="00F84647"/>
    <w:rsid w:val="00F86AD4"/>
    <w:rsid w:val="00F9116D"/>
    <w:rsid w:val="00F92A56"/>
    <w:rsid w:val="00F93F1D"/>
    <w:rsid w:val="00F94A42"/>
    <w:rsid w:val="00F9624B"/>
    <w:rsid w:val="00FA0D25"/>
    <w:rsid w:val="00FA2227"/>
    <w:rsid w:val="00FA2E88"/>
    <w:rsid w:val="00FA434E"/>
    <w:rsid w:val="00FA43C8"/>
    <w:rsid w:val="00FA7318"/>
    <w:rsid w:val="00FA7AA7"/>
    <w:rsid w:val="00FB1EFE"/>
    <w:rsid w:val="00FB27E4"/>
    <w:rsid w:val="00FB2966"/>
    <w:rsid w:val="00FB4212"/>
    <w:rsid w:val="00FB426D"/>
    <w:rsid w:val="00FB5C4F"/>
    <w:rsid w:val="00FB5E16"/>
    <w:rsid w:val="00FB7F93"/>
    <w:rsid w:val="00FB7FE1"/>
    <w:rsid w:val="00FC0943"/>
    <w:rsid w:val="00FC594A"/>
    <w:rsid w:val="00FD0BE7"/>
    <w:rsid w:val="00FD14A0"/>
    <w:rsid w:val="00FD2FC9"/>
    <w:rsid w:val="00FD5678"/>
    <w:rsid w:val="00FE334A"/>
    <w:rsid w:val="00FE339C"/>
    <w:rsid w:val="00FE43C0"/>
    <w:rsid w:val="00FE52B7"/>
    <w:rsid w:val="00FE6266"/>
    <w:rsid w:val="00FE6819"/>
    <w:rsid w:val="00FE7D82"/>
    <w:rsid w:val="00FF1AB9"/>
    <w:rsid w:val="00FF2717"/>
    <w:rsid w:val="00FF4045"/>
    <w:rsid w:val="00FF42E2"/>
    <w:rsid w:val="00FF48B7"/>
    <w:rsid w:val="00FF48CB"/>
    <w:rsid w:val="00FF4D2B"/>
    <w:rsid w:val="00FF6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43E5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E52"/>
    <w:rPr>
      <w:rFonts w:eastAsia="Times New Roman" w:cs="Times New Roman"/>
      <w:b/>
      <w:bCs/>
      <w:kern w:val="36"/>
      <w:sz w:val="48"/>
      <w:szCs w:val="48"/>
    </w:rPr>
  </w:style>
  <w:style w:type="character" w:customStyle="1" w:styleId="title">
    <w:name w:val="title"/>
    <w:basedOn w:val="DefaultParagraphFont"/>
    <w:rsid w:val="00643E52"/>
  </w:style>
  <w:style w:type="character" w:customStyle="1" w:styleId="referencesourcetg">
    <w:name w:val="referencesourcetg"/>
    <w:basedOn w:val="DefaultParagraphFont"/>
    <w:rsid w:val="00643E52"/>
  </w:style>
  <w:style w:type="character" w:customStyle="1" w:styleId="date">
    <w:name w:val="date"/>
    <w:basedOn w:val="DefaultParagraphFont"/>
    <w:rsid w:val="00643E52"/>
  </w:style>
  <w:style w:type="character" w:customStyle="1" w:styleId="apple-converted-space">
    <w:name w:val="apple-converted-space"/>
    <w:basedOn w:val="DefaultParagraphFont"/>
    <w:rsid w:val="00643E52"/>
  </w:style>
  <w:style w:type="paragraph" w:customStyle="1" w:styleId="sgtosummary">
    <w:name w:val="sgtosummary"/>
    <w:basedOn w:val="Normal"/>
    <w:rsid w:val="00643E52"/>
    <w:pPr>
      <w:spacing w:before="100" w:beforeAutospacing="1" w:after="100" w:afterAutospacing="1" w:line="240" w:lineRule="auto"/>
    </w:pPr>
    <w:rPr>
      <w:rFonts w:eastAsia="Times New Roman" w:cs="Times New Roman"/>
      <w:sz w:val="24"/>
      <w:szCs w:val="24"/>
    </w:rPr>
  </w:style>
  <w:style w:type="paragraph" w:styleId="NormalWeb">
    <w:name w:val="Normal (Web)"/>
    <w:basedOn w:val="Normal"/>
    <w:uiPriority w:val="99"/>
    <w:unhideWhenUsed/>
    <w:rsid w:val="00643E52"/>
    <w:pPr>
      <w:spacing w:before="100" w:beforeAutospacing="1" w:after="100" w:afterAutospacing="1" w:line="240" w:lineRule="auto"/>
    </w:pPr>
    <w:rPr>
      <w:rFonts w:eastAsia="Times New Roman" w:cs="Times New Roman"/>
      <w:sz w:val="24"/>
      <w:szCs w:val="24"/>
    </w:rPr>
  </w:style>
  <w:style w:type="paragraph" w:customStyle="1" w:styleId="sgtosupertitle">
    <w:name w:val="sgtosupertitle"/>
    <w:basedOn w:val="Normal"/>
    <w:rsid w:val="00643E52"/>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643E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3E52"/>
    <w:rPr>
      <w:rFonts w:ascii="Tahoma" w:hAnsi="Tahoma" w:cs="Tahoma"/>
      <w:sz w:val="16"/>
      <w:szCs w:val="16"/>
    </w:rPr>
  </w:style>
  <w:style w:type="character" w:customStyle="1" w:styleId="datecreated">
    <w:name w:val="datecreated"/>
    <w:basedOn w:val="DefaultParagraphFont"/>
    <w:rsid w:val="00643E52"/>
  </w:style>
  <w:style w:type="paragraph" w:customStyle="1" w:styleId="sgtoauthor">
    <w:name w:val="sgtoauthor"/>
    <w:basedOn w:val="Normal"/>
    <w:rsid w:val="00643E52"/>
    <w:pPr>
      <w:spacing w:before="100" w:beforeAutospacing="1" w:after="100" w:afterAutospacing="1" w:line="240" w:lineRule="auto"/>
    </w:pPr>
    <w:rPr>
      <w:rFonts w:eastAsia="Times New Roman" w:cs="Times New Roman"/>
      <w:sz w:val="24"/>
      <w:szCs w:val="24"/>
    </w:rPr>
  </w:style>
  <w:style w:type="paragraph" w:customStyle="1" w:styleId="Default">
    <w:name w:val="Default"/>
    <w:rsid w:val="00A415C0"/>
    <w:pPr>
      <w:autoSpaceDE w:val="0"/>
      <w:autoSpaceDN w:val="0"/>
      <w:adjustRightInd w:val="0"/>
      <w:spacing w:after="0" w:line="240" w:lineRule="auto"/>
    </w:pPr>
    <w:rPr>
      <w:rFonts w:eastAsia="Calibri" w:cs="Times New Roman"/>
      <w:color w:val="000000"/>
      <w:sz w:val="24"/>
      <w:szCs w:val="24"/>
    </w:rPr>
  </w:style>
  <w:style w:type="paragraph" w:styleId="ListParagraph">
    <w:name w:val="List Paragraph"/>
    <w:basedOn w:val="Normal"/>
    <w:uiPriority w:val="34"/>
    <w:qFormat/>
    <w:rsid w:val="00A415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43E5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E52"/>
    <w:rPr>
      <w:rFonts w:eastAsia="Times New Roman" w:cs="Times New Roman"/>
      <w:b/>
      <w:bCs/>
      <w:kern w:val="36"/>
      <w:sz w:val="48"/>
      <w:szCs w:val="48"/>
    </w:rPr>
  </w:style>
  <w:style w:type="character" w:customStyle="1" w:styleId="title">
    <w:name w:val="title"/>
    <w:basedOn w:val="DefaultParagraphFont"/>
    <w:rsid w:val="00643E52"/>
  </w:style>
  <w:style w:type="character" w:customStyle="1" w:styleId="referencesourcetg">
    <w:name w:val="referencesourcetg"/>
    <w:basedOn w:val="DefaultParagraphFont"/>
    <w:rsid w:val="00643E52"/>
  </w:style>
  <w:style w:type="character" w:customStyle="1" w:styleId="date">
    <w:name w:val="date"/>
    <w:basedOn w:val="DefaultParagraphFont"/>
    <w:rsid w:val="00643E52"/>
  </w:style>
  <w:style w:type="character" w:customStyle="1" w:styleId="apple-converted-space">
    <w:name w:val="apple-converted-space"/>
    <w:basedOn w:val="DefaultParagraphFont"/>
    <w:rsid w:val="00643E52"/>
  </w:style>
  <w:style w:type="paragraph" w:customStyle="1" w:styleId="sgtosummary">
    <w:name w:val="sgtosummary"/>
    <w:basedOn w:val="Normal"/>
    <w:rsid w:val="00643E52"/>
    <w:pPr>
      <w:spacing w:before="100" w:beforeAutospacing="1" w:after="100" w:afterAutospacing="1" w:line="240" w:lineRule="auto"/>
    </w:pPr>
    <w:rPr>
      <w:rFonts w:eastAsia="Times New Roman" w:cs="Times New Roman"/>
      <w:sz w:val="24"/>
      <w:szCs w:val="24"/>
    </w:rPr>
  </w:style>
  <w:style w:type="paragraph" w:styleId="NormalWeb">
    <w:name w:val="Normal (Web)"/>
    <w:basedOn w:val="Normal"/>
    <w:uiPriority w:val="99"/>
    <w:unhideWhenUsed/>
    <w:rsid w:val="00643E52"/>
    <w:pPr>
      <w:spacing w:before="100" w:beforeAutospacing="1" w:after="100" w:afterAutospacing="1" w:line="240" w:lineRule="auto"/>
    </w:pPr>
    <w:rPr>
      <w:rFonts w:eastAsia="Times New Roman" w:cs="Times New Roman"/>
      <w:sz w:val="24"/>
      <w:szCs w:val="24"/>
    </w:rPr>
  </w:style>
  <w:style w:type="paragraph" w:customStyle="1" w:styleId="sgtosupertitle">
    <w:name w:val="sgtosupertitle"/>
    <w:basedOn w:val="Normal"/>
    <w:rsid w:val="00643E52"/>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643E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3E52"/>
    <w:rPr>
      <w:rFonts w:ascii="Tahoma" w:hAnsi="Tahoma" w:cs="Tahoma"/>
      <w:sz w:val="16"/>
      <w:szCs w:val="16"/>
    </w:rPr>
  </w:style>
  <w:style w:type="character" w:customStyle="1" w:styleId="datecreated">
    <w:name w:val="datecreated"/>
    <w:basedOn w:val="DefaultParagraphFont"/>
    <w:rsid w:val="00643E52"/>
  </w:style>
  <w:style w:type="paragraph" w:customStyle="1" w:styleId="sgtoauthor">
    <w:name w:val="sgtoauthor"/>
    <w:basedOn w:val="Normal"/>
    <w:rsid w:val="00643E52"/>
    <w:pPr>
      <w:spacing w:before="100" w:beforeAutospacing="1" w:after="100" w:afterAutospacing="1" w:line="240" w:lineRule="auto"/>
    </w:pPr>
    <w:rPr>
      <w:rFonts w:eastAsia="Times New Roman" w:cs="Times New Roman"/>
      <w:sz w:val="24"/>
      <w:szCs w:val="24"/>
    </w:rPr>
  </w:style>
  <w:style w:type="paragraph" w:customStyle="1" w:styleId="Default">
    <w:name w:val="Default"/>
    <w:rsid w:val="00A415C0"/>
    <w:pPr>
      <w:autoSpaceDE w:val="0"/>
      <w:autoSpaceDN w:val="0"/>
      <w:adjustRightInd w:val="0"/>
      <w:spacing w:after="0" w:line="240" w:lineRule="auto"/>
    </w:pPr>
    <w:rPr>
      <w:rFonts w:eastAsia="Calibri" w:cs="Times New Roman"/>
      <w:color w:val="000000"/>
      <w:sz w:val="24"/>
      <w:szCs w:val="24"/>
    </w:rPr>
  </w:style>
  <w:style w:type="paragraph" w:styleId="ListParagraph">
    <w:name w:val="List Paragraph"/>
    <w:basedOn w:val="Normal"/>
    <w:uiPriority w:val="34"/>
    <w:qFormat/>
    <w:rsid w:val="00A415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6107068">
      <w:bodyDiv w:val="1"/>
      <w:marLeft w:val="0"/>
      <w:marRight w:val="0"/>
      <w:marTop w:val="0"/>
      <w:marBottom w:val="0"/>
      <w:divBdr>
        <w:top w:val="none" w:sz="0" w:space="0" w:color="auto"/>
        <w:left w:val="none" w:sz="0" w:space="0" w:color="auto"/>
        <w:bottom w:val="none" w:sz="0" w:space="0" w:color="auto"/>
        <w:right w:val="none" w:sz="0" w:space="0" w:color="auto"/>
      </w:divBdr>
    </w:div>
    <w:div w:id="123000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1961</Words>
  <Characters>11184</Characters>
  <Application>Microsoft Office Word</Application>
  <DocSecurity>0</DocSecurity>
  <Lines>93</Lines>
  <Paragraphs>26</Paragraphs>
  <ScaleCrop>false</ScaleCrop>
  <Company/>
  <LinksUpToDate>false</LinksUpToDate>
  <CharactersWithSpaces>13119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Khatmau_sr</dc:creator>
  <cp:lastModifiedBy>Khatmau_sr</cp:lastModifiedBy>
  <cp:revision>2</cp:revision>
  <dcterms:created xsi:type="dcterms:W3CDTF">2017-03-06T00:45:00Z</dcterms:created>
  <dcterms:modified xsi:type="dcterms:W3CDTF">2017-03-06T00:52:00Z</dcterms:modified>
</cp:coreProperties>
</file>